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70BD8" w14:textId="64C4CA4E" w:rsidR="00DC2ECD" w:rsidRDefault="00DC2ECD" w:rsidP="00F21722">
      <w:pPr>
        <w:jc w:val="center"/>
        <w:rPr>
          <w:noProof/>
        </w:rPr>
      </w:pPr>
      <w:bookmarkStart w:id="0" w:name="_Toc416413076"/>
      <w:bookmarkStart w:id="1" w:name="_Toc425252378"/>
      <w:r>
        <w:rPr>
          <w:noProof/>
        </w:rPr>
        <w:softHyphen/>
      </w:r>
      <w:r>
        <w:rPr>
          <w:noProof/>
        </w:rPr>
        <w:softHyphen/>
      </w:r>
      <w:r w:rsidR="00F35C5B" w:rsidRPr="00516302">
        <w:rPr>
          <w:noProof/>
          <w:sz w:val="22"/>
        </w:rPr>
        <w:drawing>
          <wp:inline distT="0" distB="0" distL="0" distR="0" wp14:anchorId="6C9200A1" wp14:editId="382F08B7">
            <wp:extent cx="5344742" cy="729369"/>
            <wp:effectExtent l="0" t="0" r="0" b="0"/>
            <wp:docPr id="17" name="Obraz 17" descr="Pasek logotypów zawierających kolejno: logo Funduszy Europejskich z odniesieniem słownym do programu regionalnego, barwy Rzeczypospolitej Polskiej, logo Podkarpackie przestrzeń otwarta, logo Unii Europejskiej z odniesieniem słownym do Europejskiego Funduszu Rozwoju Regionalnego&#10;Z informacją słowną: Sfinansowano w ramach reakcji Unii na pandemię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krzypek\Desktop\LOGOTYPY\REACT_UE\fepr-pl-podk-ueefrr_x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8978" cy="759969"/>
                    </a:xfrm>
                    <a:prstGeom prst="rect">
                      <a:avLst/>
                    </a:prstGeom>
                    <a:noFill/>
                    <a:ln>
                      <a:noFill/>
                    </a:ln>
                  </pic:spPr>
                </pic:pic>
              </a:graphicData>
            </a:graphic>
          </wp:inline>
        </w:drawing>
      </w:r>
    </w:p>
    <w:p w14:paraId="180E37FC" w14:textId="77777777" w:rsidR="00DC2ECD" w:rsidRPr="00C03EB0" w:rsidRDefault="00DC2ECD" w:rsidP="00F21722">
      <w:pPr>
        <w:jc w:val="center"/>
      </w:pPr>
    </w:p>
    <w:p w14:paraId="74868234" w14:textId="77777777" w:rsidR="00DC2ECD" w:rsidRPr="006167A7" w:rsidRDefault="00DC2ECD" w:rsidP="00F21722">
      <w:pPr>
        <w:jc w:val="right"/>
        <w:rPr>
          <w:rFonts w:ascii="Arial" w:hAnsi="Arial" w:cs="Arial"/>
          <w:b/>
        </w:rPr>
      </w:pPr>
      <w:r w:rsidRPr="006167A7">
        <w:rPr>
          <w:rFonts w:ascii="Arial" w:hAnsi="Arial" w:cs="Arial"/>
          <w:b/>
        </w:rPr>
        <w:t xml:space="preserve">Załącznik </w:t>
      </w:r>
      <w:r>
        <w:rPr>
          <w:rFonts w:ascii="Arial" w:hAnsi="Arial" w:cs="Arial"/>
          <w:b/>
        </w:rPr>
        <w:t xml:space="preserve">nr </w:t>
      </w:r>
      <w:r w:rsidRPr="00E8594F">
        <w:rPr>
          <w:rFonts w:ascii="Arial" w:hAnsi="Arial" w:cs="Arial"/>
          <w:b/>
        </w:rPr>
        <w:t>8.1</w:t>
      </w:r>
      <w:r w:rsidRPr="006167A7">
        <w:rPr>
          <w:rFonts w:ascii="Arial" w:hAnsi="Arial" w:cs="Arial"/>
          <w:b/>
        </w:rPr>
        <w:t xml:space="preserve"> do Regulaminu </w:t>
      </w:r>
      <w:r w:rsidR="00171FE4">
        <w:rPr>
          <w:rFonts w:ascii="Arial" w:hAnsi="Arial" w:cs="Arial"/>
          <w:b/>
        </w:rPr>
        <w:t>naboru</w:t>
      </w:r>
    </w:p>
    <w:p w14:paraId="673E05EA" w14:textId="77777777" w:rsidR="00DC2ECD" w:rsidRDefault="00DC2ECD" w:rsidP="00F21722">
      <w:pPr>
        <w:jc w:val="center"/>
        <w:rPr>
          <w:rFonts w:ascii="Arial" w:hAnsi="Arial" w:cs="Arial"/>
          <w:sz w:val="40"/>
          <w:szCs w:val="40"/>
        </w:rPr>
      </w:pPr>
    </w:p>
    <w:p w14:paraId="5175DA1E" w14:textId="77777777" w:rsidR="00457B5B" w:rsidRDefault="00457B5B" w:rsidP="00F21722">
      <w:pPr>
        <w:jc w:val="center"/>
        <w:rPr>
          <w:rFonts w:ascii="Arial" w:hAnsi="Arial" w:cs="Arial"/>
          <w:sz w:val="40"/>
          <w:szCs w:val="40"/>
        </w:rPr>
      </w:pPr>
    </w:p>
    <w:p w14:paraId="313D9142" w14:textId="77777777" w:rsidR="00DC2ECD" w:rsidRPr="00C7252A" w:rsidRDefault="00DC2ECD" w:rsidP="00F21722">
      <w:pPr>
        <w:jc w:val="center"/>
        <w:rPr>
          <w:rFonts w:ascii="Arial" w:hAnsi="Arial" w:cs="Arial"/>
          <w:sz w:val="40"/>
          <w:szCs w:val="40"/>
        </w:rPr>
      </w:pPr>
    </w:p>
    <w:p w14:paraId="21FA5B15" w14:textId="77777777" w:rsidR="00DC2ECD" w:rsidRPr="00C7252A" w:rsidRDefault="00DC2ECD" w:rsidP="00F21722">
      <w:pPr>
        <w:jc w:val="center"/>
        <w:rPr>
          <w:rFonts w:ascii="Arial" w:hAnsi="Arial" w:cs="Arial"/>
          <w:b/>
          <w:sz w:val="40"/>
          <w:szCs w:val="40"/>
        </w:rPr>
      </w:pPr>
      <w:r w:rsidRPr="00C7252A">
        <w:rPr>
          <w:rFonts w:ascii="Arial" w:hAnsi="Arial" w:cs="Arial"/>
          <w:b/>
          <w:sz w:val="40"/>
          <w:szCs w:val="40"/>
        </w:rPr>
        <w:t xml:space="preserve">KRYTERIA MERYTORYCZNE WYBORU PROJEKTÓW </w:t>
      </w:r>
      <w:bookmarkEnd w:id="0"/>
    </w:p>
    <w:p w14:paraId="357ADAEF" w14:textId="43BEB072" w:rsidR="00457B5B" w:rsidRPr="00C7252A" w:rsidRDefault="00457B5B" w:rsidP="002C510B">
      <w:pPr>
        <w:jc w:val="center"/>
        <w:rPr>
          <w:rFonts w:ascii="Arial" w:hAnsi="Arial" w:cs="Arial"/>
          <w:b/>
          <w:caps/>
          <w:sz w:val="40"/>
          <w:szCs w:val="40"/>
        </w:rPr>
      </w:pPr>
      <w:r w:rsidRPr="00C7252A">
        <w:rPr>
          <w:rFonts w:ascii="Arial" w:hAnsi="Arial" w:cs="Arial"/>
          <w:b/>
          <w:sz w:val="40"/>
          <w:szCs w:val="40"/>
        </w:rPr>
        <w:t xml:space="preserve">DLA DZIAŁANIA </w:t>
      </w:r>
      <w:r w:rsidR="002C510B" w:rsidRPr="00C7252A">
        <w:rPr>
          <w:rFonts w:ascii="Arial" w:hAnsi="Arial" w:cs="Arial"/>
          <w:b/>
          <w:sz w:val="40"/>
          <w:szCs w:val="40"/>
        </w:rPr>
        <w:t>11</w:t>
      </w:r>
      <w:r w:rsidRPr="00C7252A">
        <w:rPr>
          <w:rFonts w:ascii="Arial" w:hAnsi="Arial" w:cs="Arial"/>
          <w:b/>
          <w:sz w:val="40"/>
          <w:szCs w:val="40"/>
        </w:rPr>
        <w:t>.</w:t>
      </w:r>
      <w:r w:rsidR="002C510B" w:rsidRPr="00C7252A">
        <w:rPr>
          <w:rFonts w:ascii="Arial" w:hAnsi="Arial" w:cs="Arial"/>
          <w:b/>
          <w:sz w:val="40"/>
          <w:szCs w:val="40"/>
        </w:rPr>
        <w:t>3</w:t>
      </w:r>
      <w:r w:rsidRPr="00C7252A">
        <w:rPr>
          <w:rFonts w:ascii="Arial" w:hAnsi="Arial" w:cs="Arial"/>
          <w:b/>
          <w:sz w:val="40"/>
          <w:szCs w:val="40"/>
        </w:rPr>
        <w:t xml:space="preserve"> </w:t>
      </w:r>
      <w:r w:rsidR="002C510B" w:rsidRPr="00C7252A">
        <w:rPr>
          <w:rFonts w:ascii="Arial" w:hAnsi="Arial" w:cs="Arial"/>
          <w:b/>
          <w:sz w:val="40"/>
          <w:szCs w:val="40"/>
        </w:rPr>
        <w:t>MODERNIZACJA ENERGETYCZNA BUDYNKÓW UŻYTECZNOŚCI PUBLICZNEJ – REACT-EU</w:t>
      </w:r>
    </w:p>
    <w:p w14:paraId="452DCF1A" w14:textId="77777777" w:rsidR="00457B5B" w:rsidRDefault="00457B5B" w:rsidP="00F21722">
      <w:pPr>
        <w:jc w:val="center"/>
        <w:rPr>
          <w:rFonts w:ascii="Arial" w:hAnsi="Arial" w:cs="Arial"/>
          <w:b/>
          <w:caps/>
          <w:sz w:val="40"/>
          <w:szCs w:val="40"/>
        </w:rPr>
      </w:pPr>
    </w:p>
    <w:p w14:paraId="096EEED7" w14:textId="77777777" w:rsidR="005847E0" w:rsidRPr="00163DC6" w:rsidRDefault="005847E0" w:rsidP="00F21722">
      <w:pPr>
        <w:jc w:val="center"/>
        <w:rPr>
          <w:rFonts w:ascii="Arial" w:hAnsi="Arial" w:cs="Arial"/>
          <w:b/>
          <w:bCs/>
          <w:sz w:val="40"/>
          <w:szCs w:val="40"/>
        </w:rPr>
      </w:pPr>
      <w:r w:rsidRPr="00F0476C">
        <w:rPr>
          <w:rFonts w:ascii="Arial" w:eastAsia="Calibri" w:hAnsi="Arial" w:cs="Arial"/>
          <w:b/>
          <w:bCs/>
          <w:color w:val="000000"/>
          <w:sz w:val="40"/>
          <w:szCs w:val="40"/>
        </w:rPr>
        <w:t>REGIONALNY PROGRAM OPERACYJNY WOJEWÓDZTWA PODKARPACKIEGO NA LATA 2014-2020</w:t>
      </w:r>
    </w:p>
    <w:p w14:paraId="7FCD7223" w14:textId="77777777" w:rsidR="005847E0" w:rsidRDefault="005847E0" w:rsidP="00F21722">
      <w:pPr>
        <w:jc w:val="center"/>
        <w:rPr>
          <w:rFonts w:ascii="Arial" w:hAnsi="Arial" w:cs="Arial"/>
          <w:b/>
          <w:sz w:val="28"/>
          <w:szCs w:val="28"/>
        </w:rPr>
      </w:pPr>
    </w:p>
    <w:p w14:paraId="07A0A639" w14:textId="77777777" w:rsidR="005847E0" w:rsidRDefault="005847E0" w:rsidP="00F21722">
      <w:pPr>
        <w:jc w:val="center"/>
        <w:rPr>
          <w:rFonts w:ascii="Arial" w:hAnsi="Arial" w:cs="Arial"/>
          <w:b/>
          <w:sz w:val="28"/>
          <w:szCs w:val="28"/>
        </w:rPr>
      </w:pPr>
    </w:p>
    <w:p w14:paraId="391595C6" w14:textId="77777777" w:rsidR="00A22712" w:rsidRDefault="00A22712" w:rsidP="00F21722">
      <w:pPr>
        <w:jc w:val="center"/>
        <w:rPr>
          <w:rFonts w:ascii="Arial" w:hAnsi="Arial" w:cs="Arial"/>
          <w:i/>
          <w:sz w:val="36"/>
          <w:szCs w:val="36"/>
        </w:rPr>
      </w:pPr>
      <w:r>
        <w:rPr>
          <w:rFonts w:ascii="Arial" w:hAnsi="Arial" w:cs="Arial"/>
          <w:i/>
          <w:sz w:val="36"/>
          <w:szCs w:val="36"/>
        </w:rPr>
        <w:t xml:space="preserve">(przyjęte przez Komitet Monitorujący RPO WP 2014-2020 </w:t>
      </w:r>
    </w:p>
    <w:p w14:paraId="0C1FA832" w14:textId="77777777" w:rsidR="00A22712" w:rsidRDefault="00171FE4" w:rsidP="00F21722">
      <w:pPr>
        <w:jc w:val="center"/>
        <w:rPr>
          <w:rFonts w:ascii="Arial" w:hAnsi="Arial" w:cs="Arial"/>
          <w:i/>
          <w:sz w:val="36"/>
          <w:szCs w:val="36"/>
        </w:rPr>
      </w:pPr>
      <w:r>
        <w:rPr>
          <w:rFonts w:ascii="Arial" w:hAnsi="Arial" w:cs="Arial"/>
          <w:i/>
          <w:sz w:val="36"/>
          <w:szCs w:val="36"/>
        </w:rPr>
        <w:t xml:space="preserve">uchwałą z dnia </w:t>
      </w:r>
      <w:r w:rsidR="00A22712">
        <w:rPr>
          <w:rFonts w:ascii="Arial" w:hAnsi="Arial" w:cs="Arial"/>
          <w:i/>
          <w:sz w:val="36"/>
          <w:szCs w:val="36"/>
        </w:rPr>
        <w:t>25 września 2015 r. z późn. zm.)</w:t>
      </w:r>
    </w:p>
    <w:p w14:paraId="358442C8" w14:textId="77777777" w:rsidR="00DC2ECD" w:rsidRDefault="00DC2ECD" w:rsidP="00F21722">
      <w:pPr>
        <w:jc w:val="center"/>
        <w:rPr>
          <w:rFonts w:ascii="Arial" w:hAnsi="Arial" w:cs="Arial"/>
          <w:sz w:val="40"/>
          <w:szCs w:val="40"/>
        </w:rPr>
      </w:pPr>
    </w:p>
    <w:p w14:paraId="2E02CA79" w14:textId="77777777" w:rsidR="00FA0D24" w:rsidRDefault="00FA0D24" w:rsidP="00F21722">
      <w:pPr>
        <w:jc w:val="center"/>
        <w:rPr>
          <w:rFonts w:ascii="Arial" w:hAnsi="Arial" w:cs="Arial"/>
          <w:sz w:val="40"/>
          <w:szCs w:val="40"/>
        </w:rPr>
      </w:pPr>
    </w:p>
    <w:p w14:paraId="3C1E594D" w14:textId="77777777" w:rsidR="00A22712" w:rsidRDefault="00A22712" w:rsidP="00F21722">
      <w:pPr>
        <w:jc w:val="center"/>
        <w:rPr>
          <w:rFonts w:ascii="Arial" w:hAnsi="Arial" w:cs="Arial"/>
          <w:sz w:val="40"/>
          <w:szCs w:val="40"/>
        </w:rPr>
      </w:pPr>
    </w:p>
    <w:p w14:paraId="7354B48A" w14:textId="77777777" w:rsidR="00F21722" w:rsidRDefault="00F21722" w:rsidP="00F21722">
      <w:pPr>
        <w:jc w:val="center"/>
        <w:rPr>
          <w:rFonts w:ascii="Arial" w:hAnsi="Arial" w:cs="Arial"/>
          <w:sz w:val="40"/>
          <w:szCs w:val="40"/>
        </w:rPr>
      </w:pPr>
    </w:p>
    <w:p w14:paraId="139EFC9C" w14:textId="77777777" w:rsidR="00DC2ECD" w:rsidRDefault="00F378EF" w:rsidP="00F21722">
      <w:pPr>
        <w:pStyle w:val="Nagwek3"/>
        <w:rPr>
          <w:lang w:val="pl-PL"/>
        </w:rPr>
      </w:pPr>
      <w:r>
        <w:rPr>
          <w:lang w:val="pl-PL"/>
        </w:rPr>
        <w:lastRenderedPageBreak/>
        <w:t xml:space="preserve">I.1. </w:t>
      </w:r>
      <w:r w:rsidR="00931969">
        <w:t>KRYTERIA MERYTORYCZNE STANDARDOWE</w:t>
      </w:r>
    </w:p>
    <w:p w14:paraId="554DA47E" w14:textId="77777777" w:rsidR="00931969" w:rsidRPr="00931969" w:rsidRDefault="00931969" w:rsidP="00F21722"/>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558"/>
      </w:tblGrid>
      <w:tr w:rsidR="00F10330" w:rsidRPr="00EF1431" w14:paraId="5551565E" w14:textId="77777777" w:rsidTr="000738A6">
        <w:trPr>
          <w:trHeight w:val="561"/>
          <w:jc w:val="center"/>
        </w:trPr>
        <w:tc>
          <w:tcPr>
            <w:tcW w:w="14850" w:type="dxa"/>
            <w:gridSpan w:val="4"/>
            <w:shd w:val="clear" w:color="auto" w:fill="D9D9D9"/>
            <w:vAlign w:val="center"/>
          </w:tcPr>
          <w:p w14:paraId="1EAC5BFA" w14:textId="77777777" w:rsidR="00F10330" w:rsidRPr="00EF1431" w:rsidRDefault="00F10330" w:rsidP="00F21722">
            <w:pPr>
              <w:spacing w:before="60" w:after="60"/>
              <w:jc w:val="center"/>
              <w:rPr>
                <w:rFonts w:ascii="Arial" w:hAnsi="Arial" w:cs="Arial"/>
                <w:b/>
                <w:bCs/>
                <w:sz w:val="22"/>
                <w:szCs w:val="22"/>
              </w:rPr>
            </w:pPr>
            <w:r w:rsidRPr="00F10330">
              <w:rPr>
                <w:rFonts w:ascii="Arial" w:hAnsi="Arial" w:cs="Arial"/>
                <w:b/>
                <w:bCs/>
                <w:sz w:val="22"/>
                <w:szCs w:val="22"/>
              </w:rPr>
              <w:t xml:space="preserve">KRYTERIA MERYTORYCZNE STANDARDOWE - PROJEKTY </w:t>
            </w:r>
            <w:r w:rsidR="007E58E9">
              <w:rPr>
                <w:rFonts w:ascii="Arial" w:hAnsi="Arial" w:cs="Arial"/>
                <w:b/>
                <w:bCs/>
                <w:sz w:val="22"/>
                <w:szCs w:val="22"/>
              </w:rPr>
              <w:t>POZA</w:t>
            </w:r>
            <w:r w:rsidRPr="00F10330">
              <w:rPr>
                <w:rFonts w:ascii="Arial" w:hAnsi="Arial" w:cs="Arial"/>
                <w:b/>
                <w:bCs/>
                <w:sz w:val="22"/>
                <w:szCs w:val="22"/>
              </w:rPr>
              <w:t>KONKURSOWE</w:t>
            </w:r>
          </w:p>
        </w:tc>
      </w:tr>
      <w:tr w:rsidR="00F10330" w:rsidRPr="00EF1431" w14:paraId="7847380F" w14:textId="77777777" w:rsidTr="007E58E9">
        <w:trPr>
          <w:trHeight w:val="346"/>
          <w:jc w:val="center"/>
        </w:trPr>
        <w:tc>
          <w:tcPr>
            <w:tcW w:w="675" w:type="dxa"/>
            <w:shd w:val="clear" w:color="auto" w:fill="D9D9D9"/>
            <w:vAlign w:val="center"/>
          </w:tcPr>
          <w:p w14:paraId="2C6B381B" w14:textId="77777777" w:rsidR="00F10330" w:rsidRPr="00EF1431" w:rsidRDefault="00F10330" w:rsidP="00F21722">
            <w:pPr>
              <w:spacing w:before="60" w:after="60"/>
              <w:jc w:val="center"/>
              <w:rPr>
                <w:rFonts w:ascii="Arial" w:hAnsi="Arial" w:cs="Arial"/>
                <w:b/>
                <w:bCs/>
                <w:sz w:val="22"/>
                <w:szCs w:val="22"/>
              </w:rPr>
            </w:pPr>
            <w:r w:rsidRPr="00EF1431">
              <w:rPr>
                <w:rFonts w:ascii="Arial" w:hAnsi="Arial" w:cs="Arial"/>
                <w:b/>
                <w:bCs/>
                <w:sz w:val="22"/>
                <w:szCs w:val="22"/>
              </w:rPr>
              <w:t>Lp.</w:t>
            </w:r>
          </w:p>
        </w:tc>
        <w:tc>
          <w:tcPr>
            <w:tcW w:w="4679" w:type="dxa"/>
            <w:shd w:val="clear" w:color="auto" w:fill="D9D9D9"/>
            <w:vAlign w:val="center"/>
          </w:tcPr>
          <w:p w14:paraId="28542320" w14:textId="77777777" w:rsidR="00F10330" w:rsidRPr="00EF1431" w:rsidRDefault="00F10330" w:rsidP="00F21722">
            <w:pPr>
              <w:spacing w:before="60" w:after="60"/>
              <w:jc w:val="center"/>
              <w:rPr>
                <w:rFonts w:ascii="Arial" w:hAnsi="Arial" w:cs="Arial"/>
                <w:b/>
                <w:bCs/>
                <w:sz w:val="22"/>
                <w:szCs w:val="22"/>
              </w:rPr>
            </w:pPr>
            <w:r w:rsidRPr="00EF1431">
              <w:rPr>
                <w:rFonts w:ascii="Arial" w:hAnsi="Arial" w:cs="Arial"/>
                <w:b/>
                <w:bCs/>
                <w:sz w:val="22"/>
                <w:szCs w:val="22"/>
              </w:rPr>
              <w:t>Nazwa kryterium</w:t>
            </w:r>
          </w:p>
        </w:tc>
        <w:tc>
          <w:tcPr>
            <w:tcW w:w="7938" w:type="dxa"/>
            <w:shd w:val="clear" w:color="auto" w:fill="D9D9D9"/>
            <w:vAlign w:val="center"/>
          </w:tcPr>
          <w:p w14:paraId="3ED448C2" w14:textId="77777777" w:rsidR="00F10330" w:rsidRPr="00EF1431" w:rsidRDefault="00F10330" w:rsidP="00F21722">
            <w:pPr>
              <w:spacing w:before="60" w:after="60"/>
              <w:jc w:val="center"/>
              <w:rPr>
                <w:rFonts w:ascii="Arial" w:hAnsi="Arial" w:cs="Arial"/>
                <w:b/>
                <w:bCs/>
                <w:sz w:val="22"/>
                <w:szCs w:val="22"/>
              </w:rPr>
            </w:pPr>
            <w:r w:rsidRPr="00EF1431">
              <w:rPr>
                <w:rFonts w:ascii="Arial" w:hAnsi="Arial" w:cs="Arial"/>
                <w:b/>
                <w:bCs/>
                <w:sz w:val="22"/>
                <w:szCs w:val="22"/>
              </w:rPr>
              <w:t>Definicja / wyjaśnienie</w:t>
            </w:r>
          </w:p>
        </w:tc>
        <w:tc>
          <w:tcPr>
            <w:tcW w:w="1558" w:type="dxa"/>
            <w:shd w:val="clear" w:color="auto" w:fill="D9D9D9"/>
            <w:vAlign w:val="center"/>
          </w:tcPr>
          <w:p w14:paraId="70F814EA" w14:textId="77777777" w:rsidR="00F10330" w:rsidRPr="00EF1431" w:rsidRDefault="00F10330" w:rsidP="00F21722">
            <w:pPr>
              <w:spacing w:before="60" w:after="60"/>
              <w:jc w:val="center"/>
              <w:rPr>
                <w:rFonts w:ascii="Arial" w:hAnsi="Arial" w:cs="Arial"/>
                <w:b/>
                <w:bCs/>
                <w:sz w:val="22"/>
                <w:szCs w:val="22"/>
              </w:rPr>
            </w:pPr>
            <w:r w:rsidRPr="002E0A8F">
              <w:rPr>
                <w:rFonts w:ascii="Arial" w:hAnsi="Arial" w:cs="Arial"/>
                <w:b/>
                <w:bCs/>
                <w:sz w:val="22"/>
                <w:szCs w:val="22"/>
              </w:rPr>
              <w:t>T/N/ND</w:t>
            </w:r>
          </w:p>
        </w:tc>
      </w:tr>
      <w:tr w:rsidR="002C510B" w:rsidRPr="00EF1431" w14:paraId="4A011D51" w14:textId="77777777" w:rsidTr="00776FD2">
        <w:trPr>
          <w:trHeight w:val="743"/>
          <w:jc w:val="center"/>
        </w:trPr>
        <w:tc>
          <w:tcPr>
            <w:tcW w:w="675" w:type="dxa"/>
            <w:shd w:val="clear" w:color="auto" w:fill="auto"/>
            <w:vAlign w:val="center"/>
          </w:tcPr>
          <w:p w14:paraId="073FEA6F" w14:textId="77777777" w:rsidR="002C510B" w:rsidRPr="004E2641" w:rsidRDefault="002C510B" w:rsidP="002C510B">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3A11618B" w14:textId="59329C46" w:rsidR="002C510B" w:rsidRPr="009A52AE" w:rsidRDefault="002C510B" w:rsidP="002C510B">
            <w:pPr>
              <w:spacing w:before="60" w:after="60"/>
              <w:ind w:left="34"/>
              <w:rPr>
                <w:rFonts w:ascii="Arial" w:hAnsi="Arial" w:cs="Arial"/>
                <w:sz w:val="22"/>
                <w:szCs w:val="22"/>
              </w:rPr>
            </w:pPr>
            <w:r w:rsidRPr="009A52AE">
              <w:rPr>
                <w:rFonts w:ascii="Arial" w:hAnsi="Arial" w:cs="Arial"/>
                <w:sz w:val="22"/>
                <w:szCs w:val="22"/>
              </w:rPr>
              <w:t>Wykonalność rzeczowa i finansowa projektu</w:t>
            </w:r>
          </w:p>
        </w:tc>
        <w:tc>
          <w:tcPr>
            <w:tcW w:w="7938" w:type="dxa"/>
            <w:shd w:val="clear" w:color="auto" w:fill="auto"/>
            <w:vAlign w:val="center"/>
          </w:tcPr>
          <w:p w14:paraId="36D997E8" w14:textId="77777777" w:rsidR="002C510B" w:rsidRPr="009A52AE" w:rsidRDefault="002C510B" w:rsidP="002C510B">
            <w:pPr>
              <w:pStyle w:val="Akapitzlist"/>
              <w:ind w:left="28"/>
              <w:jc w:val="both"/>
              <w:rPr>
                <w:rFonts w:ascii="Arial" w:hAnsi="Arial" w:cs="Arial"/>
                <w:sz w:val="22"/>
                <w:szCs w:val="22"/>
              </w:rPr>
            </w:pPr>
            <w:r w:rsidRPr="009A52AE">
              <w:rPr>
                <w:rFonts w:ascii="Arial" w:hAnsi="Arial" w:cs="Arial"/>
                <w:sz w:val="22"/>
                <w:szCs w:val="22"/>
              </w:rPr>
              <w:t>W ramach kryterium weryfikacji podlega:</w:t>
            </w:r>
          </w:p>
          <w:p w14:paraId="54A5755F" w14:textId="77777777" w:rsidR="002C510B" w:rsidRPr="009A52AE" w:rsidRDefault="002C510B" w:rsidP="002C510B">
            <w:pPr>
              <w:pStyle w:val="Akapitzlist"/>
              <w:numPr>
                <w:ilvl w:val="0"/>
                <w:numId w:val="17"/>
              </w:numPr>
              <w:jc w:val="both"/>
              <w:rPr>
                <w:rFonts w:ascii="Arial" w:hAnsi="Arial" w:cs="Arial"/>
                <w:sz w:val="22"/>
                <w:szCs w:val="22"/>
              </w:rPr>
            </w:pPr>
            <w:r w:rsidRPr="009A52AE">
              <w:rPr>
                <w:rFonts w:ascii="Arial" w:hAnsi="Arial" w:cs="Arial"/>
                <w:sz w:val="22"/>
                <w:szCs w:val="22"/>
              </w:rPr>
              <w:t>zakres rzeczowy projektu pod kątem celów, opisanych problemów i potrzeb oraz planowanych do uzyskania wskaźników;</w:t>
            </w:r>
          </w:p>
          <w:p w14:paraId="6A94B266" w14:textId="77777777" w:rsidR="002C510B" w:rsidRPr="009A52AE" w:rsidRDefault="002C510B" w:rsidP="002C510B">
            <w:pPr>
              <w:pStyle w:val="Akapitzlist"/>
              <w:numPr>
                <w:ilvl w:val="0"/>
                <w:numId w:val="17"/>
              </w:numPr>
              <w:jc w:val="both"/>
              <w:rPr>
                <w:rFonts w:ascii="Arial" w:hAnsi="Arial" w:cs="Arial"/>
                <w:sz w:val="22"/>
                <w:szCs w:val="22"/>
              </w:rPr>
            </w:pPr>
            <w:r w:rsidRPr="009A52AE">
              <w:rPr>
                <w:rFonts w:ascii="Arial" w:hAnsi="Arial" w:cs="Arial"/>
                <w:sz w:val="22"/>
                <w:szCs w:val="22"/>
              </w:rPr>
              <w:t>adekwatność nakładów do planowanych do uzyskania wskaźników;</w:t>
            </w:r>
          </w:p>
          <w:p w14:paraId="658CDAAE" w14:textId="77777777" w:rsidR="002C510B" w:rsidRPr="009A52AE" w:rsidRDefault="002C510B" w:rsidP="002C510B">
            <w:pPr>
              <w:pStyle w:val="Akapitzlist"/>
              <w:numPr>
                <w:ilvl w:val="0"/>
                <w:numId w:val="17"/>
              </w:numPr>
              <w:jc w:val="both"/>
              <w:rPr>
                <w:rFonts w:ascii="Arial" w:hAnsi="Arial" w:cs="Arial"/>
                <w:sz w:val="22"/>
                <w:szCs w:val="22"/>
              </w:rPr>
            </w:pPr>
            <w:r w:rsidRPr="009A52AE">
              <w:rPr>
                <w:rFonts w:ascii="Arial" w:hAnsi="Arial" w:cs="Arial"/>
                <w:sz w:val="22"/>
                <w:szCs w:val="22"/>
              </w:rPr>
              <w:t>harmonogram rzeczowo-finansowy pod kątem zgodności zaplanowanego zakresu rzeczowego projektu oraz przyjętych terminów wykonania zadań z zasadami i uwarunkowaniami administracyjnymi właściwymi dla procesu przewidzianego do realizacji.</w:t>
            </w:r>
          </w:p>
          <w:p w14:paraId="67AE2711" w14:textId="77777777" w:rsidR="002C510B" w:rsidRPr="009A52AE" w:rsidRDefault="002C510B" w:rsidP="002C510B">
            <w:pPr>
              <w:pStyle w:val="Akapitzlist"/>
              <w:ind w:left="28"/>
              <w:jc w:val="both"/>
              <w:rPr>
                <w:rFonts w:ascii="Arial" w:hAnsi="Arial" w:cs="Arial"/>
                <w:sz w:val="22"/>
                <w:szCs w:val="22"/>
              </w:rPr>
            </w:pPr>
          </w:p>
          <w:p w14:paraId="39073951" w14:textId="1F1D998F" w:rsidR="002C510B" w:rsidRPr="009A52AE" w:rsidRDefault="002C510B" w:rsidP="002C510B">
            <w:pPr>
              <w:pStyle w:val="Akapitzlist"/>
              <w:spacing w:before="200" w:after="60"/>
              <w:ind w:left="34"/>
              <w:jc w:val="both"/>
              <w:rPr>
                <w:rFonts w:ascii="Arial" w:hAnsi="Arial" w:cs="Arial"/>
                <w:sz w:val="22"/>
                <w:szCs w:val="22"/>
              </w:rPr>
            </w:pPr>
            <w:r w:rsidRPr="009A52AE">
              <w:rPr>
                <w:rFonts w:ascii="Arial" w:hAnsi="Arial" w:cs="Arial"/>
                <w:sz w:val="22"/>
                <w:szCs w:val="22"/>
              </w:rPr>
              <w:t>Istnieje możliwość poprawy / uzupełnienia projektu w zakresie niniejszego kryterium (zgodnie z art. 45 ust. 3 ustawy wdrożeniowej).</w:t>
            </w:r>
          </w:p>
        </w:tc>
        <w:tc>
          <w:tcPr>
            <w:tcW w:w="1558" w:type="dxa"/>
            <w:shd w:val="clear" w:color="auto" w:fill="auto"/>
            <w:vAlign w:val="center"/>
          </w:tcPr>
          <w:p w14:paraId="652EA872" w14:textId="77777777" w:rsidR="002C510B" w:rsidRPr="00EF1431" w:rsidRDefault="002C510B" w:rsidP="002C510B">
            <w:pPr>
              <w:spacing w:before="60" w:after="60"/>
              <w:rPr>
                <w:rFonts w:ascii="Arial" w:hAnsi="Arial" w:cs="Arial"/>
                <w:sz w:val="22"/>
                <w:szCs w:val="22"/>
              </w:rPr>
            </w:pPr>
          </w:p>
        </w:tc>
      </w:tr>
      <w:tr w:rsidR="002C510B" w:rsidRPr="00FE05AF" w14:paraId="79826DCD" w14:textId="77777777" w:rsidTr="00776FD2">
        <w:trPr>
          <w:trHeight w:val="697"/>
          <w:jc w:val="center"/>
        </w:trPr>
        <w:tc>
          <w:tcPr>
            <w:tcW w:w="675" w:type="dxa"/>
            <w:shd w:val="clear" w:color="auto" w:fill="auto"/>
            <w:vAlign w:val="center"/>
          </w:tcPr>
          <w:p w14:paraId="27CE8897" w14:textId="77777777" w:rsidR="002C510B" w:rsidRPr="004E2641" w:rsidRDefault="002C510B" w:rsidP="002C510B">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395ACC5E" w14:textId="7972848C" w:rsidR="002C510B" w:rsidRPr="009A52AE" w:rsidRDefault="002C510B" w:rsidP="002C510B">
            <w:pPr>
              <w:pStyle w:val="Akapitzlist"/>
              <w:spacing w:before="60" w:after="60"/>
              <w:ind w:left="0"/>
              <w:jc w:val="both"/>
              <w:rPr>
                <w:rFonts w:ascii="Arial" w:hAnsi="Arial" w:cs="Arial"/>
                <w:sz w:val="22"/>
                <w:szCs w:val="22"/>
                <w:lang w:val="pl-PL"/>
              </w:rPr>
            </w:pPr>
            <w:r w:rsidRPr="009A52AE">
              <w:rPr>
                <w:rFonts w:ascii="Arial" w:hAnsi="Arial" w:cs="Arial"/>
                <w:sz w:val="22"/>
                <w:szCs w:val="22"/>
              </w:rPr>
              <w:t>Kwalifikowalność wydatków</w:t>
            </w:r>
          </w:p>
        </w:tc>
        <w:tc>
          <w:tcPr>
            <w:tcW w:w="7938" w:type="dxa"/>
            <w:shd w:val="clear" w:color="auto" w:fill="auto"/>
            <w:vAlign w:val="center"/>
          </w:tcPr>
          <w:p w14:paraId="62F0372D" w14:textId="77777777" w:rsidR="002C510B" w:rsidRPr="009A52AE" w:rsidRDefault="002C510B" w:rsidP="002C510B">
            <w:pPr>
              <w:spacing w:before="60"/>
              <w:jc w:val="both"/>
              <w:rPr>
                <w:rFonts w:ascii="Arial" w:hAnsi="Arial" w:cs="Arial"/>
                <w:sz w:val="22"/>
                <w:szCs w:val="22"/>
              </w:rPr>
            </w:pPr>
            <w:r w:rsidRPr="009A52AE">
              <w:rPr>
                <w:rFonts w:ascii="Arial" w:hAnsi="Arial" w:cs="Arial"/>
                <w:sz w:val="22"/>
                <w:szCs w:val="22"/>
              </w:rPr>
              <w:t>W ramach kryterium weryfikowane będzie czy wydatki określone we wniosku jako kwalifikowane są:</w:t>
            </w:r>
          </w:p>
          <w:p w14:paraId="3481B0C9" w14:textId="77777777" w:rsidR="002C510B" w:rsidRPr="009A52AE" w:rsidRDefault="002C510B" w:rsidP="002C510B">
            <w:pPr>
              <w:numPr>
                <w:ilvl w:val="0"/>
                <w:numId w:val="4"/>
              </w:numPr>
              <w:spacing w:before="60" w:after="60"/>
              <w:ind w:left="282" w:hanging="284"/>
              <w:jc w:val="both"/>
              <w:rPr>
                <w:rFonts w:ascii="Arial" w:hAnsi="Arial" w:cs="Arial"/>
                <w:sz w:val="22"/>
                <w:szCs w:val="22"/>
              </w:rPr>
            </w:pPr>
            <w:r w:rsidRPr="009A52AE">
              <w:rPr>
                <w:rFonts w:ascii="Arial" w:hAnsi="Arial" w:cs="Arial"/>
                <w:sz w:val="22"/>
                <w:szCs w:val="22"/>
              </w:rPr>
              <w:t>niezbędne do realizacji projektu,</w:t>
            </w:r>
          </w:p>
          <w:p w14:paraId="6E67D706" w14:textId="77777777" w:rsidR="002C510B" w:rsidRPr="009A52AE" w:rsidRDefault="002C510B" w:rsidP="002C510B">
            <w:pPr>
              <w:numPr>
                <w:ilvl w:val="0"/>
                <w:numId w:val="4"/>
              </w:numPr>
              <w:spacing w:before="60"/>
              <w:ind w:left="282" w:hanging="284"/>
              <w:jc w:val="both"/>
              <w:rPr>
                <w:rFonts w:ascii="Arial" w:hAnsi="Arial" w:cs="Arial"/>
                <w:sz w:val="22"/>
                <w:szCs w:val="22"/>
              </w:rPr>
            </w:pPr>
            <w:r w:rsidRPr="009A52AE">
              <w:rPr>
                <w:rFonts w:ascii="Arial" w:hAnsi="Arial" w:cs="Arial"/>
                <w:sz w:val="22"/>
                <w:szCs w:val="22"/>
              </w:rPr>
              <w:t>zaplanowane w sposób oszczędny i efektywny, tj. z założeniem jak najwyższych efektów i jakości przy najniższych kosztach.</w:t>
            </w:r>
          </w:p>
          <w:p w14:paraId="2CC52BEE" w14:textId="20B0F060" w:rsidR="002C510B" w:rsidRPr="009A52AE" w:rsidRDefault="002C510B" w:rsidP="002C510B">
            <w:pPr>
              <w:spacing w:before="200" w:after="60"/>
              <w:jc w:val="both"/>
              <w:rPr>
                <w:rFonts w:ascii="Arial" w:hAnsi="Arial" w:cs="Arial"/>
                <w:sz w:val="22"/>
                <w:szCs w:val="22"/>
              </w:rPr>
            </w:pPr>
            <w:r w:rsidRPr="009A52AE">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14:paraId="23331391" w14:textId="77777777" w:rsidR="002C510B" w:rsidRPr="00FE05AF" w:rsidRDefault="002C510B" w:rsidP="002C510B">
            <w:pPr>
              <w:spacing w:before="60" w:after="60"/>
              <w:rPr>
                <w:rFonts w:ascii="Arial" w:hAnsi="Arial" w:cs="Arial"/>
                <w:sz w:val="22"/>
                <w:szCs w:val="22"/>
              </w:rPr>
            </w:pPr>
          </w:p>
        </w:tc>
      </w:tr>
      <w:tr w:rsidR="002C510B" w:rsidRPr="00FE05AF" w14:paraId="7C23FC54" w14:textId="77777777" w:rsidTr="0089153C">
        <w:trPr>
          <w:trHeight w:val="416"/>
          <w:jc w:val="center"/>
        </w:trPr>
        <w:tc>
          <w:tcPr>
            <w:tcW w:w="675" w:type="dxa"/>
            <w:shd w:val="clear" w:color="auto" w:fill="auto"/>
            <w:vAlign w:val="center"/>
          </w:tcPr>
          <w:p w14:paraId="1BBB404B" w14:textId="77777777" w:rsidR="002C510B" w:rsidRPr="00FE05AF" w:rsidRDefault="002C510B" w:rsidP="002C510B">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799E4998" w14:textId="588217A3" w:rsidR="002C510B" w:rsidRPr="009A52AE" w:rsidRDefault="002C510B" w:rsidP="002C510B">
            <w:pPr>
              <w:spacing w:before="60" w:after="60"/>
              <w:ind w:left="34"/>
              <w:rPr>
                <w:rFonts w:ascii="Arial" w:hAnsi="Arial" w:cs="Arial"/>
                <w:sz w:val="22"/>
                <w:szCs w:val="22"/>
              </w:rPr>
            </w:pPr>
            <w:r w:rsidRPr="009A52AE">
              <w:rPr>
                <w:rFonts w:ascii="Arial" w:hAnsi="Arial" w:cs="Arial"/>
                <w:sz w:val="22"/>
                <w:szCs w:val="22"/>
              </w:rPr>
              <w:t>Poprawność przeprowadzenia analizy potencjału instytucjonalnego wnioskodawcy</w:t>
            </w:r>
          </w:p>
        </w:tc>
        <w:tc>
          <w:tcPr>
            <w:tcW w:w="7938" w:type="dxa"/>
            <w:shd w:val="clear" w:color="auto" w:fill="auto"/>
            <w:vAlign w:val="center"/>
          </w:tcPr>
          <w:p w14:paraId="3505E4F2" w14:textId="77777777" w:rsidR="002C510B" w:rsidRPr="009A52AE" w:rsidRDefault="002C510B" w:rsidP="002C510B">
            <w:pPr>
              <w:jc w:val="both"/>
              <w:rPr>
                <w:rFonts w:ascii="Arial" w:hAnsi="Arial" w:cs="Arial"/>
                <w:sz w:val="22"/>
                <w:szCs w:val="22"/>
              </w:rPr>
            </w:pPr>
            <w:r w:rsidRPr="009A52AE">
              <w:rPr>
                <w:rFonts w:ascii="Arial" w:hAnsi="Arial" w:cs="Arial"/>
                <w:sz w:val="22"/>
                <w:szCs w:val="22"/>
              </w:rPr>
              <w:t>W ramach kryterium weryfikowana będzie poprawność dokonania analizy potencjału instytucjonalnego wnioskodawcy. Poprawna analiza powinna zawierać w szczególności informacje dotyczące:</w:t>
            </w:r>
          </w:p>
          <w:p w14:paraId="3E2CE0F8" w14:textId="77777777" w:rsidR="002C510B" w:rsidRPr="009A52AE" w:rsidRDefault="002C510B" w:rsidP="002C510B">
            <w:pPr>
              <w:numPr>
                <w:ilvl w:val="0"/>
                <w:numId w:val="18"/>
              </w:numPr>
              <w:tabs>
                <w:tab w:val="left" w:pos="282"/>
              </w:tabs>
              <w:ind w:left="313" w:hanging="283"/>
              <w:jc w:val="both"/>
              <w:rPr>
                <w:rFonts w:ascii="Arial" w:hAnsi="Arial" w:cs="Arial"/>
                <w:sz w:val="22"/>
                <w:szCs w:val="22"/>
              </w:rPr>
            </w:pPr>
            <w:r w:rsidRPr="009A52AE">
              <w:rPr>
                <w:rFonts w:ascii="Arial" w:hAnsi="Arial" w:cs="Arial"/>
                <w:sz w:val="22"/>
                <w:szCs w:val="22"/>
              </w:rPr>
              <w:t>analizy:</w:t>
            </w:r>
          </w:p>
          <w:p w14:paraId="5ABF67C1" w14:textId="77777777" w:rsidR="002C510B" w:rsidRPr="009A52AE" w:rsidRDefault="002C510B" w:rsidP="002C510B">
            <w:pPr>
              <w:tabs>
                <w:tab w:val="left" w:pos="282"/>
              </w:tabs>
              <w:ind w:left="284" w:hanging="2"/>
              <w:jc w:val="both"/>
              <w:rPr>
                <w:rFonts w:ascii="Arial" w:hAnsi="Arial" w:cs="Arial"/>
                <w:sz w:val="22"/>
                <w:szCs w:val="22"/>
              </w:rPr>
            </w:pPr>
            <w:r w:rsidRPr="009A52AE">
              <w:rPr>
                <w:rFonts w:ascii="Arial" w:hAnsi="Arial" w:cs="Arial"/>
                <w:sz w:val="22"/>
                <w:szCs w:val="22"/>
              </w:rPr>
              <w:t>- formy prawnej wnioskodawcy,</w:t>
            </w:r>
          </w:p>
          <w:p w14:paraId="7BFC32E6" w14:textId="77777777" w:rsidR="002C510B" w:rsidRPr="009A52AE" w:rsidRDefault="002C510B" w:rsidP="002C510B">
            <w:pPr>
              <w:tabs>
                <w:tab w:val="left" w:pos="282"/>
              </w:tabs>
              <w:ind w:left="284" w:hanging="2"/>
              <w:jc w:val="both"/>
              <w:rPr>
                <w:rFonts w:ascii="Arial" w:hAnsi="Arial" w:cs="Arial"/>
                <w:sz w:val="22"/>
                <w:szCs w:val="22"/>
              </w:rPr>
            </w:pPr>
            <w:r w:rsidRPr="009A52AE">
              <w:rPr>
                <w:rFonts w:ascii="Arial" w:hAnsi="Arial" w:cs="Arial"/>
                <w:sz w:val="22"/>
                <w:szCs w:val="22"/>
              </w:rPr>
              <w:t>- ewentualnych partnerów i zasad partnerstwa,</w:t>
            </w:r>
          </w:p>
          <w:p w14:paraId="15398EF4" w14:textId="77777777" w:rsidR="002C510B" w:rsidRPr="009A52AE" w:rsidRDefault="002C510B" w:rsidP="002C510B">
            <w:pPr>
              <w:tabs>
                <w:tab w:val="left" w:pos="282"/>
              </w:tabs>
              <w:ind w:left="284" w:hanging="2"/>
              <w:jc w:val="both"/>
              <w:rPr>
                <w:rFonts w:ascii="Arial" w:hAnsi="Arial" w:cs="Arial"/>
                <w:sz w:val="22"/>
                <w:szCs w:val="22"/>
              </w:rPr>
            </w:pPr>
            <w:r w:rsidRPr="009A52AE">
              <w:rPr>
                <w:rFonts w:ascii="Arial" w:hAnsi="Arial" w:cs="Arial"/>
                <w:sz w:val="22"/>
                <w:szCs w:val="22"/>
              </w:rPr>
              <w:t>- doświadczenia wnioskodawcy w realizacji inwestycji,</w:t>
            </w:r>
          </w:p>
          <w:p w14:paraId="5C2DE19C" w14:textId="77777777" w:rsidR="002C510B" w:rsidRPr="009A52AE" w:rsidRDefault="002C510B" w:rsidP="002C510B">
            <w:pPr>
              <w:ind w:left="284"/>
              <w:jc w:val="both"/>
              <w:rPr>
                <w:rFonts w:ascii="Arial" w:hAnsi="Arial" w:cs="Arial"/>
                <w:sz w:val="22"/>
                <w:szCs w:val="22"/>
              </w:rPr>
            </w:pPr>
            <w:r w:rsidRPr="009A52AE">
              <w:rPr>
                <w:rFonts w:ascii="Arial" w:hAnsi="Arial" w:cs="Arial"/>
                <w:sz w:val="22"/>
                <w:szCs w:val="22"/>
              </w:rPr>
              <w:t>- zdolności do zapewnienia środków finansowych koniecznych do pokrycia kosztów eksploatacji inwestycji.</w:t>
            </w:r>
          </w:p>
          <w:p w14:paraId="6734F5A3" w14:textId="77777777" w:rsidR="002C510B" w:rsidRPr="009A52AE" w:rsidRDefault="002C510B" w:rsidP="002C510B">
            <w:pPr>
              <w:numPr>
                <w:ilvl w:val="0"/>
                <w:numId w:val="18"/>
              </w:numPr>
              <w:tabs>
                <w:tab w:val="left" w:pos="282"/>
              </w:tabs>
              <w:ind w:left="282" w:hanging="284"/>
              <w:jc w:val="both"/>
              <w:rPr>
                <w:rFonts w:ascii="Arial" w:hAnsi="Arial" w:cs="Arial"/>
                <w:sz w:val="22"/>
                <w:szCs w:val="22"/>
              </w:rPr>
            </w:pPr>
            <w:r w:rsidRPr="009A52AE">
              <w:rPr>
                <w:rFonts w:ascii="Arial" w:hAnsi="Arial" w:cs="Arial"/>
                <w:sz w:val="22"/>
                <w:szCs w:val="22"/>
              </w:rPr>
              <w:t>czy przedstawione informacje potwierdzają zdolność wnioskodawcy do wykonania projektu zgodnie z przyjętymi celami?</w:t>
            </w:r>
          </w:p>
          <w:p w14:paraId="50D8A705" w14:textId="75C0517E" w:rsidR="002C510B" w:rsidRPr="009A52AE" w:rsidRDefault="002C510B" w:rsidP="002C510B">
            <w:pPr>
              <w:spacing w:before="200" w:after="60"/>
              <w:jc w:val="both"/>
              <w:rPr>
                <w:rFonts w:ascii="Arial" w:hAnsi="Arial" w:cs="Arial"/>
                <w:sz w:val="22"/>
                <w:szCs w:val="22"/>
              </w:rPr>
            </w:pPr>
            <w:r w:rsidRPr="009A52AE">
              <w:rPr>
                <w:rFonts w:ascii="Arial" w:hAnsi="Arial" w:cs="Arial"/>
                <w:sz w:val="22"/>
                <w:szCs w:val="22"/>
              </w:rPr>
              <w:lastRenderedPageBreak/>
              <w:t>Istnieje możliwość poprawy / uzupełnienia projektu w zakresie niniejszego kryterium (zgodnie z art. 45 ust. 3 ustawy wdrożeniowej).</w:t>
            </w:r>
          </w:p>
        </w:tc>
        <w:tc>
          <w:tcPr>
            <w:tcW w:w="1558" w:type="dxa"/>
            <w:shd w:val="clear" w:color="auto" w:fill="auto"/>
            <w:vAlign w:val="center"/>
          </w:tcPr>
          <w:p w14:paraId="228C519F" w14:textId="77777777" w:rsidR="002C510B" w:rsidRPr="00FE05AF" w:rsidRDefault="002C510B" w:rsidP="002C510B">
            <w:pPr>
              <w:spacing w:before="60" w:after="60"/>
              <w:rPr>
                <w:rFonts w:ascii="Arial" w:hAnsi="Arial" w:cs="Arial"/>
                <w:sz w:val="22"/>
                <w:szCs w:val="22"/>
              </w:rPr>
            </w:pPr>
          </w:p>
        </w:tc>
      </w:tr>
      <w:tr w:rsidR="002C510B" w:rsidRPr="00FE05AF" w14:paraId="1C7CF852" w14:textId="77777777" w:rsidTr="002C510B">
        <w:trPr>
          <w:trHeight w:val="557"/>
          <w:jc w:val="center"/>
        </w:trPr>
        <w:tc>
          <w:tcPr>
            <w:tcW w:w="675" w:type="dxa"/>
            <w:shd w:val="clear" w:color="auto" w:fill="auto"/>
            <w:vAlign w:val="center"/>
          </w:tcPr>
          <w:p w14:paraId="0B940BDE" w14:textId="77777777" w:rsidR="002C510B" w:rsidRPr="00FE05AF" w:rsidRDefault="002C510B" w:rsidP="002C510B">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4998061C" w14:textId="0E199418" w:rsidR="002C510B" w:rsidRPr="002E0A8F" w:rsidRDefault="002C510B" w:rsidP="002C510B">
            <w:pPr>
              <w:spacing w:before="60" w:after="60"/>
              <w:jc w:val="both"/>
              <w:rPr>
                <w:rFonts w:ascii="Arial" w:hAnsi="Arial" w:cs="Arial"/>
                <w:sz w:val="22"/>
                <w:szCs w:val="22"/>
              </w:rPr>
            </w:pPr>
            <w:r w:rsidRPr="00064700">
              <w:rPr>
                <w:rFonts w:ascii="Arial" w:hAnsi="Arial" w:cs="Arial"/>
                <w:sz w:val="22"/>
                <w:szCs w:val="22"/>
              </w:rPr>
              <w:t xml:space="preserve">Zasada zapobiegania dyskryminacji </w:t>
            </w:r>
          </w:p>
        </w:tc>
        <w:tc>
          <w:tcPr>
            <w:tcW w:w="7938" w:type="dxa"/>
            <w:shd w:val="clear" w:color="auto" w:fill="auto"/>
            <w:vAlign w:val="center"/>
          </w:tcPr>
          <w:p w14:paraId="3B39A47E" w14:textId="77777777" w:rsidR="002C510B" w:rsidRPr="00064700" w:rsidRDefault="002C510B" w:rsidP="002C510B">
            <w:pPr>
              <w:spacing w:before="60" w:after="60"/>
              <w:jc w:val="both"/>
              <w:rPr>
                <w:rFonts w:ascii="Arial" w:hAnsi="Arial" w:cs="Arial"/>
                <w:sz w:val="22"/>
                <w:szCs w:val="22"/>
                <w:lang w:eastAsia="ar-SA"/>
              </w:rPr>
            </w:pPr>
            <w:r w:rsidRPr="00064700">
              <w:rPr>
                <w:rFonts w:ascii="Arial" w:hAnsi="Arial" w:cs="Arial"/>
                <w:sz w:val="22"/>
                <w:szCs w:val="22"/>
                <w:lang w:eastAsia="ar-SA"/>
              </w:rPr>
              <w:t>W ramach kryterium weryfikacji podlega zgodność projektu z zasadą równości szans i niedyskryminacji, w tym dostępności dla osób z niepełnosprawnościami.</w:t>
            </w:r>
          </w:p>
          <w:p w14:paraId="2D684A12" w14:textId="77777777" w:rsidR="002C510B" w:rsidRPr="00064700" w:rsidRDefault="002C510B" w:rsidP="002C510B">
            <w:pPr>
              <w:spacing w:before="60" w:after="60"/>
              <w:jc w:val="both"/>
              <w:rPr>
                <w:rFonts w:ascii="Arial" w:hAnsi="Arial" w:cs="Arial"/>
                <w:sz w:val="22"/>
                <w:szCs w:val="22"/>
                <w:lang w:eastAsia="ar-SA"/>
              </w:rPr>
            </w:pPr>
            <w:r w:rsidRPr="00064700">
              <w:rPr>
                <w:rFonts w:ascii="Arial" w:hAnsi="Arial" w:cs="Arial"/>
                <w:sz w:val="22"/>
                <w:szCs w:val="22"/>
                <w:lang w:eastAsia="ar-SA"/>
              </w:rPr>
              <w:t>W szczególności przedmiotem sprawdzenia jest, czy projekt nie ogranicza równego dostępu do zasobów (towarów, usług, infrastruktury) ze względu na pochodzenie rasowe lub etniczne, religię lub przekonania, niepełnosprawność, wiek lub orientację seksualną.</w:t>
            </w:r>
          </w:p>
          <w:p w14:paraId="14EE5548" w14:textId="77777777" w:rsidR="002C510B" w:rsidRPr="00064700" w:rsidRDefault="002C510B" w:rsidP="002C510B">
            <w:pPr>
              <w:spacing w:before="60" w:after="60"/>
              <w:jc w:val="both"/>
              <w:rPr>
                <w:rFonts w:ascii="Arial" w:hAnsi="Arial" w:cs="Arial"/>
                <w:sz w:val="22"/>
                <w:szCs w:val="22"/>
                <w:lang w:eastAsia="ar-SA"/>
              </w:rPr>
            </w:pPr>
            <w:r w:rsidRPr="00064700">
              <w:rPr>
                <w:rFonts w:ascii="Arial" w:hAnsi="Arial" w:cs="Arial"/>
                <w:sz w:val="22"/>
                <w:szCs w:val="22"/>
                <w:lang w:eastAsia="ar-SA"/>
              </w:rPr>
              <w:t xml:space="preserve">W przypadku osób z niepełnosprawnościami, niedyskryminacyjny charakter projektu oznacza konieczność stosowania zasady uniwersalnego projektowania </w:t>
            </w:r>
            <w:r w:rsidRPr="00064700">
              <w:rPr>
                <w:rFonts w:ascii="Arial" w:hAnsi="Arial" w:cs="Arial"/>
                <w:bCs/>
                <w:sz w:val="22"/>
                <w:szCs w:val="22"/>
                <w:lang w:eastAsia="ar-SA"/>
              </w:rPr>
              <w:t>i/lub</w:t>
            </w:r>
            <w:r w:rsidRPr="00064700">
              <w:rPr>
                <w:rFonts w:ascii="Arial" w:hAnsi="Arial" w:cs="Arial"/>
                <w:sz w:val="22"/>
                <w:szCs w:val="22"/>
                <w:lang w:eastAsia="ar-SA"/>
              </w:rPr>
              <w:t xml:space="preserve"> racjonalnych usprawnień zapewniających dostępność oraz możliwości korzystania ze wspieranej infrastruktury (jeśli charakter projektu dotyczy tych kwestii). </w:t>
            </w:r>
          </w:p>
          <w:p w14:paraId="164A5C3D" w14:textId="77777777" w:rsidR="002C510B" w:rsidRPr="00064700" w:rsidRDefault="002C510B" w:rsidP="002C510B">
            <w:pPr>
              <w:spacing w:before="60" w:after="60"/>
              <w:jc w:val="both"/>
              <w:rPr>
                <w:rFonts w:ascii="Arial" w:hAnsi="Arial" w:cs="Arial"/>
                <w:sz w:val="22"/>
                <w:szCs w:val="22"/>
              </w:rPr>
            </w:pPr>
            <w:r w:rsidRPr="00064700">
              <w:rPr>
                <w:rFonts w:ascii="Arial" w:hAnsi="Arial" w:cs="Arial"/>
                <w:bCs/>
                <w:sz w:val="22"/>
                <w:szCs w:val="22"/>
                <w:lang w:eastAsia="ar-SA"/>
              </w:rPr>
              <w:t xml:space="preserve">Konieczność opisania sposobów zapewnienia dostępności dla osób z różnymi rodzajami niepełnosprawności wynika z </w:t>
            </w:r>
            <w:r w:rsidRPr="00064700">
              <w:rPr>
                <w:rFonts w:ascii="Arial" w:hAnsi="Arial" w:cs="Arial"/>
                <w:i/>
                <w:iCs/>
                <w:sz w:val="22"/>
                <w:szCs w:val="22"/>
              </w:rPr>
              <w:t>Wytycznych w zakresie realizacji zasady równości szans i niedyskryminacji, w tym dostępności dla osób z niepełnosprawnościami oraz zasady równości szans kobiet i mężczyzn w ramach funduszy unijnych na lata 2014-2020</w:t>
            </w:r>
            <w:r w:rsidRPr="00064700">
              <w:rPr>
                <w:rFonts w:ascii="Arial" w:hAnsi="Arial" w:cs="Arial"/>
                <w:sz w:val="22"/>
                <w:szCs w:val="22"/>
              </w:rPr>
              <w:t>.</w:t>
            </w:r>
          </w:p>
          <w:p w14:paraId="3DC142AA" w14:textId="77777777" w:rsidR="002C510B" w:rsidRPr="00064700" w:rsidRDefault="002C510B" w:rsidP="002C510B">
            <w:pPr>
              <w:spacing w:before="60" w:after="60"/>
              <w:jc w:val="both"/>
              <w:rPr>
                <w:rFonts w:ascii="Arial" w:hAnsi="Arial" w:cs="Arial"/>
                <w:sz w:val="22"/>
                <w:szCs w:val="22"/>
                <w:lang w:eastAsia="ar-SA"/>
              </w:rPr>
            </w:pPr>
            <w:r w:rsidRPr="00064700">
              <w:rPr>
                <w:rFonts w:ascii="Arial" w:hAnsi="Arial" w:cs="Arial"/>
                <w:sz w:val="22"/>
                <w:szCs w:val="22"/>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t>
            </w:r>
            <w:r w:rsidRPr="00064700">
              <w:rPr>
                <w:rFonts w:ascii="Arial" w:hAnsi="Arial" w:cs="Arial"/>
                <w:i/>
                <w:iCs/>
                <w:sz w:val="22"/>
                <w:szCs w:val="22"/>
              </w:rPr>
              <w:t>Wytycznych w zakresie realizacji zasady równości szans i niedyskryminacji, w tym dostępności dla osób z niepełnosprawnościami oraz zasady równości szans kobiet i mężczyzn w ramach funduszy unijnych na lata 2014-2020</w:t>
            </w:r>
            <w:r w:rsidRPr="00064700">
              <w:rPr>
                <w:rFonts w:ascii="Arial" w:hAnsi="Arial" w:cs="Arial"/>
                <w:bCs/>
                <w:sz w:val="22"/>
                <w:szCs w:val="22"/>
                <w:lang w:eastAsia="ar-SA"/>
              </w:rPr>
              <w:t xml:space="preserve">. </w:t>
            </w:r>
          </w:p>
          <w:p w14:paraId="3A273792" w14:textId="77777777" w:rsidR="002C510B" w:rsidRPr="00064700" w:rsidRDefault="002C510B" w:rsidP="002C510B">
            <w:pPr>
              <w:spacing w:before="60"/>
              <w:jc w:val="both"/>
              <w:rPr>
                <w:rFonts w:ascii="Arial" w:hAnsi="Arial" w:cs="Arial"/>
                <w:bCs/>
                <w:sz w:val="22"/>
                <w:szCs w:val="22"/>
                <w:lang w:eastAsia="ar-SA"/>
              </w:rPr>
            </w:pPr>
            <w:r w:rsidRPr="00064700">
              <w:rPr>
                <w:rFonts w:ascii="Arial" w:hAnsi="Arial" w:cs="Arial"/>
                <w:bCs/>
                <w:sz w:val="22"/>
                <w:szCs w:val="22"/>
                <w:lang w:eastAsia="ar-SA"/>
              </w:rPr>
              <w:t>W przypadku wskazania neutralnego wpływu produktu/produktów projektu na zasadę, należy przedstawić uzasadnienia dla braku możliwości zastosowania zasady. Niespełnienie kryterium skutkuje odrzuceniem wniosku o dofinansowanie. Kryterium weryfikowane na podstawie treści złożonego wniosku o dofinansowanie.</w:t>
            </w:r>
          </w:p>
          <w:p w14:paraId="3EAB9512" w14:textId="5782A5F6" w:rsidR="002C510B" w:rsidRPr="002C510B" w:rsidRDefault="002C510B" w:rsidP="002C510B">
            <w:pPr>
              <w:tabs>
                <w:tab w:val="left" w:pos="282"/>
              </w:tabs>
              <w:spacing w:before="200" w:after="60"/>
              <w:jc w:val="both"/>
              <w:rPr>
                <w:rFonts w:ascii="Arial" w:hAnsi="Arial" w:cs="Arial"/>
                <w:sz w:val="22"/>
                <w:szCs w:val="22"/>
              </w:rPr>
            </w:pPr>
            <w:r w:rsidRPr="00064700">
              <w:rPr>
                <w:rFonts w:ascii="Arial" w:hAnsi="Arial" w:cs="Arial"/>
                <w:sz w:val="22"/>
                <w:szCs w:val="22"/>
              </w:rPr>
              <w:lastRenderedPageBreak/>
              <w:t>Istnieje możliwość poprawy/uzupełnienia projektu w zakresie niniejszego kryterium (zgodnie z art. 45 ust. 3 ustawy wdrożeniowej).</w:t>
            </w:r>
          </w:p>
        </w:tc>
        <w:tc>
          <w:tcPr>
            <w:tcW w:w="1558" w:type="dxa"/>
            <w:shd w:val="clear" w:color="auto" w:fill="auto"/>
            <w:vAlign w:val="center"/>
          </w:tcPr>
          <w:p w14:paraId="13EA3EEE" w14:textId="77777777" w:rsidR="002C510B" w:rsidRPr="00FE05AF" w:rsidRDefault="002C510B" w:rsidP="002C510B">
            <w:pPr>
              <w:spacing w:before="60" w:after="60"/>
              <w:rPr>
                <w:rFonts w:ascii="Arial" w:hAnsi="Arial" w:cs="Arial"/>
                <w:sz w:val="22"/>
                <w:szCs w:val="22"/>
              </w:rPr>
            </w:pPr>
          </w:p>
        </w:tc>
      </w:tr>
      <w:tr w:rsidR="002C510B" w:rsidRPr="00FE05AF" w14:paraId="38DC5492" w14:textId="77777777" w:rsidTr="00776FD2">
        <w:trPr>
          <w:trHeight w:val="699"/>
          <w:jc w:val="center"/>
        </w:trPr>
        <w:tc>
          <w:tcPr>
            <w:tcW w:w="675" w:type="dxa"/>
            <w:shd w:val="clear" w:color="auto" w:fill="auto"/>
            <w:vAlign w:val="center"/>
          </w:tcPr>
          <w:p w14:paraId="014F1CB0" w14:textId="77777777" w:rsidR="002C510B" w:rsidRPr="00FE05AF" w:rsidRDefault="002C510B" w:rsidP="002C510B">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530C3692" w14:textId="05082BFB" w:rsidR="002C510B" w:rsidRPr="00014F8E" w:rsidRDefault="002C510B" w:rsidP="002C510B">
            <w:pPr>
              <w:pStyle w:val="Akapitzlist"/>
              <w:spacing w:before="60" w:after="60"/>
              <w:ind w:left="0"/>
              <w:jc w:val="both"/>
              <w:rPr>
                <w:rFonts w:ascii="Arial" w:hAnsi="Arial" w:cs="Arial"/>
                <w:sz w:val="22"/>
                <w:szCs w:val="22"/>
                <w:lang w:val="pl-PL" w:eastAsia="pl-PL"/>
              </w:rPr>
            </w:pPr>
            <w:r w:rsidRPr="008566F8">
              <w:rPr>
                <w:rFonts w:ascii="Arial" w:eastAsia="Calibri" w:hAnsi="Arial" w:cs="Arial"/>
                <w:sz w:val="22"/>
                <w:szCs w:val="22"/>
              </w:rPr>
              <w:t xml:space="preserve">Równość szans kobiet i mężczyzn </w:t>
            </w:r>
          </w:p>
        </w:tc>
        <w:tc>
          <w:tcPr>
            <w:tcW w:w="7938" w:type="dxa"/>
            <w:shd w:val="clear" w:color="auto" w:fill="auto"/>
            <w:vAlign w:val="center"/>
          </w:tcPr>
          <w:p w14:paraId="02485129" w14:textId="77777777" w:rsidR="002C510B" w:rsidRPr="00064700" w:rsidRDefault="002C510B" w:rsidP="002C510B">
            <w:pPr>
              <w:spacing w:before="60" w:after="60"/>
              <w:jc w:val="both"/>
              <w:rPr>
                <w:rFonts w:ascii="Arial" w:hAnsi="Arial" w:cs="Arial"/>
                <w:sz w:val="22"/>
                <w:szCs w:val="22"/>
                <w:lang w:eastAsia="ar-SA"/>
              </w:rPr>
            </w:pPr>
            <w:r w:rsidRPr="00064700">
              <w:rPr>
                <w:rFonts w:ascii="Arial" w:hAnsi="Arial" w:cs="Arial"/>
                <w:sz w:val="22"/>
                <w:szCs w:val="22"/>
                <w:lang w:eastAsia="ar-SA"/>
              </w:rPr>
              <w:t xml:space="preserve">W ramach kryterium weryfikacji podlega zgodność projektu z zasadą równości szans kobiet i mężczyzn, na podstawie </w:t>
            </w:r>
            <w:r w:rsidRPr="00064700">
              <w:rPr>
                <w:rFonts w:ascii="Arial" w:hAnsi="Arial" w:cs="Arial"/>
                <w:i/>
                <w:sz w:val="22"/>
                <w:szCs w:val="22"/>
                <w:lang w:eastAsia="ar-SA"/>
              </w:rPr>
              <w:t>Wytycznych w zakresie realizacji zasady równości szans i niedyskryminacji, w tym dostępności dla osób z niepełnosprawnościami oraz zasady równości szans kobiet i mężczyzn w ramach funduszy unijnych na lata 2014-2020</w:t>
            </w:r>
            <w:r w:rsidRPr="00064700">
              <w:rPr>
                <w:rFonts w:ascii="Arial" w:hAnsi="Arial" w:cs="Arial"/>
                <w:sz w:val="22"/>
                <w:szCs w:val="22"/>
                <w:lang w:eastAsia="ar-SA"/>
              </w:rPr>
              <w:t>.</w:t>
            </w:r>
          </w:p>
          <w:p w14:paraId="2B5E3EC7" w14:textId="77777777" w:rsidR="002C510B" w:rsidRPr="00064700" w:rsidRDefault="002C510B" w:rsidP="002C510B">
            <w:pPr>
              <w:spacing w:before="60"/>
              <w:jc w:val="both"/>
              <w:rPr>
                <w:rFonts w:ascii="Arial" w:hAnsi="Arial" w:cs="Arial"/>
                <w:sz w:val="22"/>
                <w:szCs w:val="22"/>
              </w:rPr>
            </w:pPr>
            <w:r w:rsidRPr="00064700">
              <w:rPr>
                <w:rFonts w:ascii="Arial" w:hAnsi="Arial" w:cs="Arial"/>
                <w:sz w:val="22"/>
                <w:szCs w:val="22"/>
              </w:rPr>
              <w:t>W szczególności przedmiotem sprawdzenia jest, czy projekt nie ogranicza równego dostępu do zasobów (towarów, usług, infrastruktury) ze względu na płeć.</w:t>
            </w:r>
          </w:p>
          <w:p w14:paraId="4C675EDC" w14:textId="599B2A91" w:rsidR="002C510B" w:rsidRPr="00837BE8" w:rsidRDefault="002C510B" w:rsidP="002C510B">
            <w:pPr>
              <w:pStyle w:val="Akapitzlist"/>
              <w:spacing w:before="240" w:after="60"/>
              <w:ind w:left="0"/>
              <w:contextualSpacing w:val="0"/>
              <w:jc w:val="both"/>
              <w:rPr>
                <w:rFonts w:ascii="Arial" w:hAnsi="Arial" w:cs="Arial"/>
                <w:sz w:val="22"/>
                <w:szCs w:val="22"/>
              </w:rPr>
            </w:pPr>
            <w:r w:rsidRPr="0006470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14:paraId="34AF0194" w14:textId="77777777" w:rsidR="002C510B" w:rsidRPr="00FE05AF" w:rsidRDefault="002C510B" w:rsidP="002C510B">
            <w:pPr>
              <w:spacing w:before="60" w:after="60"/>
              <w:rPr>
                <w:rFonts w:ascii="Arial" w:hAnsi="Arial" w:cs="Arial"/>
                <w:sz w:val="22"/>
                <w:szCs w:val="22"/>
              </w:rPr>
            </w:pPr>
          </w:p>
        </w:tc>
      </w:tr>
      <w:tr w:rsidR="002C510B" w:rsidRPr="00FE05AF" w14:paraId="6F168CF2" w14:textId="77777777" w:rsidTr="00776FD2">
        <w:trPr>
          <w:trHeight w:val="699"/>
          <w:jc w:val="center"/>
        </w:trPr>
        <w:tc>
          <w:tcPr>
            <w:tcW w:w="675" w:type="dxa"/>
            <w:shd w:val="clear" w:color="auto" w:fill="auto"/>
            <w:vAlign w:val="center"/>
          </w:tcPr>
          <w:p w14:paraId="77A53BA7" w14:textId="77777777" w:rsidR="002C510B" w:rsidRPr="00FE05AF" w:rsidRDefault="002C510B" w:rsidP="002C510B">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18EE74F9" w14:textId="57BAB4E8" w:rsidR="002C510B" w:rsidRPr="008566F8" w:rsidRDefault="002C510B" w:rsidP="002C510B">
            <w:pPr>
              <w:spacing w:before="60" w:after="60"/>
              <w:jc w:val="both"/>
              <w:rPr>
                <w:rFonts w:ascii="Arial" w:eastAsia="Calibri" w:hAnsi="Arial" w:cs="Arial"/>
                <w:sz w:val="22"/>
                <w:szCs w:val="22"/>
              </w:rPr>
            </w:pPr>
            <w:r w:rsidRPr="002E0A8F">
              <w:rPr>
                <w:rFonts w:ascii="Arial" w:hAnsi="Arial" w:cs="Arial"/>
                <w:sz w:val="22"/>
                <w:szCs w:val="22"/>
              </w:rPr>
              <w:t>Zasada zrównoważonego rozwoju</w:t>
            </w:r>
          </w:p>
        </w:tc>
        <w:tc>
          <w:tcPr>
            <w:tcW w:w="7938" w:type="dxa"/>
            <w:shd w:val="clear" w:color="auto" w:fill="auto"/>
            <w:vAlign w:val="center"/>
          </w:tcPr>
          <w:p w14:paraId="15832070" w14:textId="77777777" w:rsidR="002C510B" w:rsidRDefault="002C510B" w:rsidP="002C510B">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lang w:val="pl-PL" w:eastAsia="pl-PL"/>
              </w:rPr>
              <w:t>Weryfikacja, czy projekt obejmuje finansowanie przedsięwzięć minimalizujących oddziaływanie działalności człowieka na środowisko.</w:t>
            </w:r>
          </w:p>
          <w:p w14:paraId="62803736" w14:textId="77777777" w:rsidR="002C510B" w:rsidRDefault="002C510B" w:rsidP="002C510B">
            <w:pPr>
              <w:pStyle w:val="Akapitzlist"/>
              <w:spacing w:before="60"/>
              <w:ind w:left="0"/>
              <w:jc w:val="both"/>
              <w:rPr>
                <w:rFonts w:ascii="Arial" w:hAnsi="Arial" w:cs="Arial"/>
                <w:sz w:val="22"/>
                <w:szCs w:val="22"/>
                <w:lang w:val="pl-PL" w:eastAsia="pl-PL"/>
              </w:rPr>
            </w:pPr>
            <w:r w:rsidRPr="002E0A8F">
              <w:rPr>
                <w:rFonts w:ascii="Arial" w:hAnsi="Arial" w:cs="Arial"/>
                <w:sz w:val="22"/>
                <w:szCs w:val="22"/>
                <w:lang w:val="pl-PL" w:eastAsia="pl-PL"/>
              </w:rPr>
              <w:t>Zasada zrównoważonego rozwoju jest zachowana, jeżeli w</w:t>
            </w:r>
            <w:r>
              <w:rPr>
                <w:rFonts w:ascii="Arial" w:hAnsi="Arial" w:cs="Arial"/>
                <w:sz w:val="22"/>
                <w:szCs w:val="22"/>
                <w:lang w:val="pl-PL" w:eastAsia="pl-PL"/>
              </w:rPr>
              <w:t xml:space="preserve"> </w:t>
            </w:r>
            <w:r w:rsidRPr="002E0A8F">
              <w:rPr>
                <w:rFonts w:ascii="Arial" w:hAnsi="Arial" w:cs="Arial"/>
                <w:sz w:val="22"/>
                <w:szCs w:val="22"/>
                <w:lang w:val="pl-PL" w:eastAsia="pl-PL"/>
              </w:rPr>
              <w:t>ramach projektu zakłada się podejmowanie działań ukierunkowanych na: racjonalne gospodarowanie zasobami, ograniczenie presji na środowisko, uwzględnianie efektów środowiskowych w</w:t>
            </w:r>
            <w:r>
              <w:rPr>
                <w:rFonts w:ascii="Arial" w:hAnsi="Arial" w:cs="Arial"/>
                <w:sz w:val="22"/>
                <w:szCs w:val="22"/>
                <w:lang w:val="pl-PL" w:eastAsia="pl-PL"/>
              </w:rPr>
              <w:t xml:space="preserve"> </w:t>
            </w:r>
            <w:r w:rsidRPr="002E0A8F">
              <w:rPr>
                <w:rFonts w:ascii="Arial" w:hAnsi="Arial" w:cs="Arial"/>
                <w:sz w:val="22"/>
                <w:szCs w:val="22"/>
                <w:lang w:val="pl-PL" w:eastAsia="pl-PL"/>
              </w:rPr>
              <w:t>zarządzaniu, podnoszenie świadomości ekologicznej społeczeństwa.</w:t>
            </w:r>
          </w:p>
          <w:p w14:paraId="006B686B" w14:textId="6BD2FA3E" w:rsidR="002C510B" w:rsidRPr="00837BE8" w:rsidRDefault="002C510B" w:rsidP="002C510B">
            <w:pPr>
              <w:pStyle w:val="Akapitzlist"/>
              <w:spacing w:before="200" w:after="60"/>
              <w:ind w:left="0"/>
              <w:contextualSpacing w:val="0"/>
              <w:jc w:val="both"/>
              <w:rPr>
                <w:rFonts w:ascii="Arial" w:hAnsi="Arial" w:cs="Arial"/>
                <w:sz w:val="22"/>
                <w:szCs w:val="22"/>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14:paraId="33917A88" w14:textId="77777777" w:rsidR="002C510B" w:rsidRPr="00FE05AF" w:rsidRDefault="002C510B" w:rsidP="002C510B">
            <w:pPr>
              <w:spacing w:before="60" w:after="60"/>
              <w:rPr>
                <w:rFonts w:ascii="Arial" w:hAnsi="Arial" w:cs="Arial"/>
                <w:sz w:val="22"/>
                <w:szCs w:val="22"/>
              </w:rPr>
            </w:pPr>
          </w:p>
        </w:tc>
      </w:tr>
    </w:tbl>
    <w:p w14:paraId="30A822A2" w14:textId="77777777" w:rsidR="0089153C" w:rsidRPr="002438C4" w:rsidRDefault="0089153C" w:rsidP="00F21722">
      <w:pPr>
        <w:pStyle w:val="Nagwek3"/>
        <w:tabs>
          <w:tab w:val="left" w:pos="567"/>
          <w:tab w:val="left" w:pos="709"/>
        </w:tabs>
        <w:ind w:left="360" w:hanging="218"/>
      </w:pPr>
      <w:bookmarkStart w:id="2" w:name="_Toc429548482"/>
      <w:bookmarkStart w:id="3" w:name="_Toc427917174"/>
      <w:bookmarkStart w:id="4" w:name="_Toc427917173"/>
      <w:bookmarkStart w:id="5" w:name="_Toc429548477"/>
      <w:bookmarkEnd w:id="1"/>
      <w:r>
        <w:t>I.2.</w:t>
      </w:r>
      <w:r w:rsidR="00FF270D">
        <w:t xml:space="preserve"> </w:t>
      </w:r>
      <w:bookmarkEnd w:id="2"/>
      <w:bookmarkEnd w:id="3"/>
      <w:r w:rsidRPr="00781FCD">
        <w:t>KRYTERIA MERYTORYCZNE SPECYFICZNE</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9072"/>
        <w:gridCol w:w="1559"/>
      </w:tblGrid>
      <w:tr w:rsidR="0089153C" w:rsidRPr="00B135A3" w14:paraId="39B66F64" w14:textId="77777777" w:rsidTr="00E5141E">
        <w:trPr>
          <w:trHeight w:val="634"/>
        </w:trPr>
        <w:tc>
          <w:tcPr>
            <w:tcW w:w="709" w:type="dxa"/>
            <w:shd w:val="clear" w:color="auto" w:fill="D9D9D9"/>
            <w:vAlign w:val="center"/>
          </w:tcPr>
          <w:bookmarkEnd w:id="4"/>
          <w:bookmarkEnd w:id="5"/>
          <w:p w14:paraId="3D457E96" w14:textId="77777777" w:rsidR="0089153C" w:rsidRPr="00B135A3" w:rsidRDefault="0089153C" w:rsidP="00F21722">
            <w:pPr>
              <w:jc w:val="center"/>
              <w:rPr>
                <w:rFonts w:ascii="Arial" w:hAnsi="Arial" w:cs="Arial"/>
                <w:b/>
                <w:bCs/>
                <w:sz w:val="22"/>
                <w:szCs w:val="22"/>
              </w:rPr>
            </w:pPr>
            <w:r w:rsidRPr="00B135A3">
              <w:rPr>
                <w:rFonts w:ascii="Arial" w:hAnsi="Arial" w:cs="Arial"/>
                <w:b/>
                <w:bCs/>
                <w:sz w:val="22"/>
                <w:szCs w:val="22"/>
              </w:rPr>
              <w:t>Lp.</w:t>
            </w:r>
          </w:p>
        </w:tc>
        <w:tc>
          <w:tcPr>
            <w:tcW w:w="3544" w:type="dxa"/>
            <w:shd w:val="clear" w:color="auto" w:fill="D9D9D9"/>
            <w:vAlign w:val="center"/>
          </w:tcPr>
          <w:p w14:paraId="2E162340" w14:textId="77777777" w:rsidR="0089153C" w:rsidRPr="00B135A3" w:rsidRDefault="0089153C" w:rsidP="00F21722">
            <w:pPr>
              <w:jc w:val="center"/>
              <w:rPr>
                <w:rFonts w:ascii="Arial" w:hAnsi="Arial" w:cs="Arial"/>
                <w:b/>
                <w:bCs/>
                <w:sz w:val="22"/>
                <w:szCs w:val="22"/>
              </w:rPr>
            </w:pPr>
            <w:r w:rsidRPr="00B135A3">
              <w:rPr>
                <w:rFonts w:ascii="Arial" w:hAnsi="Arial" w:cs="Arial"/>
                <w:b/>
                <w:bCs/>
                <w:sz w:val="22"/>
                <w:szCs w:val="22"/>
              </w:rPr>
              <w:t>Nazwa kryterium</w:t>
            </w:r>
          </w:p>
        </w:tc>
        <w:tc>
          <w:tcPr>
            <w:tcW w:w="9072" w:type="dxa"/>
            <w:shd w:val="clear" w:color="auto" w:fill="D9D9D9"/>
            <w:vAlign w:val="center"/>
          </w:tcPr>
          <w:p w14:paraId="2253112A" w14:textId="77777777" w:rsidR="0089153C" w:rsidRPr="00B135A3" w:rsidRDefault="0089153C" w:rsidP="00F21722">
            <w:pPr>
              <w:jc w:val="center"/>
              <w:rPr>
                <w:rFonts w:ascii="Arial" w:hAnsi="Arial" w:cs="Arial"/>
                <w:b/>
                <w:bCs/>
                <w:sz w:val="22"/>
                <w:szCs w:val="22"/>
              </w:rPr>
            </w:pPr>
            <w:r>
              <w:rPr>
                <w:rFonts w:ascii="Arial" w:hAnsi="Arial" w:cs="Arial"/>
                <w:b/>
                <w:bCs/>
                <w:sz w:val="22"/>
                <w:szCs w:val="22"/>
              </w:rPr>
              <w:t>Definicja / wyjaśnienia</w:t>
            </w:r>
          </w:p>
        </w:tc>
        <w:tc>
          <w:tcPr>
            <w:tcW w:w="1559" w:type="dxa"/>
            <w:shd w:val="clear" w:color="auto" w:fill="D9D9D9"/>
            <w:vAlign w:val="center"/>
          </w:tcPr>
          <w:p w14:paraId="67C63399" w14:textId="77777777" w:rsidR="0089153C" w:rsidRPr="00B135A3" w:rsidRDefault="0089153C" w:rsidP="00F21722">
            <w:pPr>
              <w:jc w:val="center"/>
              <w:rPr>
                <w:rFonts w:ascii="Arial" w:hAnsi="Arial" w:cs="Arial"/>
                <w:b/>
                <w:bCs/>
                <w:sz w:val="22"/>
                <w:szCs w:val="22"/>
              </w:rPr>
            </w:pPr>
            <w:r>
              <w:rPr>
                <w:rFonts w:ascii="Arial" w:hAnsi="Arial" w:cs="Arial"/>
                <w:b/>
                <w:bCs/>
                <w:sz w:val="22"/>
                <w:szCs w:val="22"/>
              </w:rPr>
              <w:t>T/N/ND</w:t>
            </w:r>
          </w:p>
        </w:tc>
      </w:tr>
      <w:tr w:rsidR="002C510B" w:rsidRPr="00666209" w14:paraId="481EB4C1" w14:textId="77777777" w:rsidTr="00E5141E">
        <w:trPr>
          <w:trHeight w:val="634"/>
        </w:trPr>
        <w:tc>
          <w:tcPr>
            <w:tcW w:w="709" w:type="dxa"/>
            <w:vAlign w:val="center"/>
          </w:tcPr>
          <w:p w14:paraId="26DC1E01" w14:textId="77777777" w:rsidR="002C510B" w:rsidRPr="009A52AE" w:rsidRDefault="002C510B" w:rsidP="002C510B">
            <w:pPr>
              <w:pStyle w:val="Akapitzlist"/>
              <w:numPr>
                <w:ilvl w:val="0"/>
                <w:numId w:val="12"/>
              </w:numPr>
              <w:ind w:left="360"/>
              <w:jc w:val="center"/>
              <w:rPr>
                <w:rFonts w:ascii="Arial" w:hAnsi="Arial" w:cs="Arial"/>
                <w:strike/>
                <w:sz w:val="22"/>
                <w:szCs w:val="22"/>
              </w:rPr>
            </w:pPr>
          </w:p>
        </w:tc>
        <w:tc>
          <w:tcPr>
            <w:tcW w:w="3544" w:type="dxa"/>
            <w:vAlign w:val="center"/>
          </w:tcPr>
          <w:p w14:paraId="6577DB8F" w14:textId="0DB66800" w:rsidR="002C510B" w:rsidRPr="009A52AE" w:rsidRDefault="002C510B" w:rsidP="002C510B">
            <w:pPr>
              <w:pStyle w:val="Default"/>
              <w:spacing w:before="120" w:after="120"/>
              <w:jc w:val="both"/>
              <w:rPr>
                <w:strike/>
                <w:color w:val="auto"/>
                <w:sz w:val="22"/>
                <w:szCs w:val="22"/>
              </w:rPr>
            </w:pPr>
            <w:r w:rsidRPr="009A52AE">
              <w:rPr>
                <w:color w:val="auto"/>
                <w:sz w:val="22"/>
                <w:szCs w:val="22"/>
              </w:rPr>
              <w:t>Stopień poprawy efektywności energetycznej (%)</w:t>
            </w:r>
          </w:p>
        </w:tc>
        <w:tc>
          <w:tcPr>
            <w:tcW w:w="9072" w:type="dxa"/>
          </w:tcPr>
          <w:p w14:paraId="588A2646" w14:textId="77777777" w:rsidR="002C510B" w:rsidRPr="009A52AE" w:rsidRDefault="002C510B" w:rsidP="002C510B">
            <w:pPr>
              <w:jc w:val="both"/>
              <w:rPr>
                <w:rFonts w:ascii="Arial" w:hAnsi="Arial" w:cs="Arial"/>
                <w:sz w:val="22"/>
                <w:szCs w:val="22"/>
              </w:rPr>
            </w:pPr>
            <w:r w:rsidRPr="009A52AE">
              <w:rPr>
                <w:rFonts w:ascii="Arial" w:hAnsi="Arial" w:cs="Arial"/>
                <w:sz w:val="22"/>
                <w:szCs w:val="22"/>
              </w:rPr>
              <w:t>Kryterium oceniane będzie na podstawie danych zawartych w dokumentacji wniosku (audyt/y energetyczny/e).</w:t>
            </w:r>
          </w:p>
          <w:p w14:paraId="46EB415E" w14:textId="77777777" w:rsidR="002C510B" w:rsidRPr="009A52AE" w:rsidRDefault="002C510B" w:rsidP="002C510B">
            <w:pPr>
              <w:jc w:val="both"/>
              <w:rPr>
                <w:rFonts w:ascii="Arial" w:hAnsi="Arial" w:cs="Arial"/>
                <w:sz w:val="22"/>
                <w:szCs w:val="22"/>
              </w:rPr>
            </w:pPr>
            <w:r w:rsidRPr="009A52AE">
              <w:rPr>
                <w:rFonts w:ascii="Arial" w:hAnsi="Arial" w:cs="Arial"/>
                <w:sz w:val="22"/>
                <w:szCs w:val="22"/>
              </w:rPr>
              <w:t>W ramach kryterium oceniany będzie zakres poprawy efektywności energetycznej (</w:t>
            </w:r>
            <w:r w:rsidRPr="009A52AE">
              <w:rPr>
                <w:rFonts w:ascii="Arial" w:hAnsi="Arial" w:cs="Arial"/>
                <w:bCs/>
                <w:iCs/>
                <w:sz w:val="22"/>
                <w:szCs w:val="22"/>
              </w:rPr>
              <w:t>zmniejszenia obliczeniowego zapotrzebowania na energię</w:t>
            </w:r>
            <w:r w:rsidRPr="009A52AE">
              <w:rPr>
                <w:rFonts w:ascii="Arial" w:hAnsi="Arial" w:cs="Arial"/>
                <w:sz w:val="22"/>
                <w:szCs w:val="22"/>
              </w:rPr>
              <w:t>) w odniesieniu do stanu początkowego (%).</w:t>
            </w:r>
          </w:p>
          <w:p w14:paraId="4A37893E" w14:textId="0A92DA47" w:rsidR="002C510B" w:rsidRPr="009A52AE" w:rsidRDefault="002C510B" w:rsidP="002C510B">
            <w:pPr>
              <w:jc w:val="both"/>
              <w:rPr>
                <w:rFonts w:ascii="Arial" w:hAnsi="Arial" w:cs="Arial"/>
                <w:bCs/>
                <w:iCs/>
                <w:strike/>
                <w:sz w:val="22"/>
                <w:szCs w:val="22"/>
              </w:rPr>
            </w:pPr>
            <w:r w:rsidRPr="009A52AE">
              <w:rPr>
                <w:rFonts w:ascii="Arial" w:hAnsi="Arial" w:cs="Arial"/>
                <w:bCs/>
                <w:iCs/>
                <w:sz w:val="22"/>
                <w:szCs w:val="22"/>
              </w:rPr>
              <w:t>Dofinansowanie będzie możliwe wyłącznie pod warunkiem zwiększenia efektywności energetycznej (czy</w:t>
            </w:r>
            <w:r w:rsidR="00EB3A60" w:rsidRPr="009A52AE">
              <w:rPr>
                <w:rFonts w:ascii="Arial" w:hAnsi="Arial" w:cs="Arial"/>
                <w:bCs/>
                <w:iCs/>
                <w:sz w:val="22"/>
                <w:szCs w:val="22"/>
              </w:rPr>
              <w:t xml:space="preserve">li zmniejszenia obliczeniowego </w:t>
            </w:r>
            <w:r w:rsidRPr="009A52AE">
              <w:rPr>
                <w:rFonts w:ascii="Arial" w:hAnsi="Arial" w:cs="Arial"/>
                <w:bCs/>
                <w:iCs/>
                <w:sz w:val="22"/>
                <w:szCs w:val="22"/>
              </w:rPr>
              <w:t>zapotrzebowania na energię końcową (łącznie cieplną i elektryczną)), o co najmniej 25%, dla każdego budynku objętego projektem.</w:t>
            </w:r>
            <w:r w:rsidRPr="009A52AE">
              <w:t xml:space="preserve"> </w:t>
            </w:r>
            <w:r w:rsidRPr="009A52AE">
              <w:rPr>
                <w:rFonts w:ascii="Arial" w:hAnsi="Arial" w:cs="Arial"/>
                <w:bCs/>
                <w:iCs/>
                <w:sz w:val="22"/>
                <w:szCs w:val="22"/>
              </w:rPr>
              <w:t>Energia cieplna końcowa obejmuje energi</w:t>
            </w:r>
            <w:bookmarkStart w:id="6" w:name="_GoBack"/>
            <w:bookmarkEnd w:id="6"/>
            <w:r w:rsidRPr="009A52AE">
              <w:rPr>
                <w:rFonts w:ascii="Arial" w:hAnsi="Arial" w:cs="Arial"/>
                <w:bCs/>
                <w:iCs/>
                <w:sz w:val="22"/>
                <w:szCs w:val="22"/>
              </w:rPr>
              <w:t xml:space="preserve">ę do ogrzewania, wentylacji, chłodzenia i przygotowania c.w.u. </w:t>
            </w:r>
          </w:p>
          <w:p w14:paraId="1FA9F33B" w14:textId="4F98DE0C" w:rsidR="002C510B" w:rsidRPr="009A52AE" w:rsidRDefault="002C510B" w:rsidP="002C510B">
            <w:pPr>
              <w:pStyle w:val="Default"/>
              <w:spacing w:before="200" w:after="60"/>
              <w:jc w:val="both"/>
              <w:rPr>
                <w:strike/>
                <w:color w:val="auto"/>
                <w:sz w:val="22"/>
                <w:szCs w:val="22"/>
              </w:rPr>
            </w:pPr>
            <w:r w:rsidRPr="009A52AE">
              <w:rPr>
                <w:color w:val="auto"/>
                <w:sz w:val="22"/>
                <w:szCs w:val="22"/>
              </w:rPr>
              <w:t>Istnieje możliwość poprawy/ uzupełnienia projektu w zakresie niniejszego kryterium (zgodnie z art. 45 ust. 3 ustawy wdrożeniowej).</w:t>
            </w:r>
          </w:p>
        </w:tc>
        <w:tc>
          <w:tcPr>
            <w:tcW w:w="1559" w:type="dxa"/>
          </w:tcPr>
          <w:p w14:paraId="55E4DDD2" w14:textId="77777777" w:rsidR="002C510B" w:rsidRPr="00666209" w:rsidRDefault="002C510B" w:rsidP="002C510B">
            <w:pPr>
              <w:pStyle w:val="Default"/>
              <w:rPr>
                <w:strike/>
                <w:color w:val="FF0000"/>
                <w:sz w:val="22"/>
                <w:szCs w:val="22"/>
              </w:rPr>
            </w:pPr>
          </w:p>
        </w:tc>
      </w:tr>
    </w:tbl>
    <w:p w14:paraId="077EF564" w14:textId="77777777" w:rsidR="00DC2ECD" w:rsidRPr="00FE05AF" w:rsidRDefault="00DC2ECD" w:rsidP="00F21722">
      <w:pPr>
        <w:jc w:val="both"/>
        <w:rPr>
          <w:rFonts w:ascii="Arial" w:hAnsi="Arial" w:cs="Arial"/>
          <w:sz w:val="22"/>
          <w:szCs w:val="22"/>
        </w:rPr>
      </w:pPr>
    </w:p>
    <w:sectPr w:rsidR="00DC2ECD" w:rsidRPr="00FE05AF" w:rsidSect="00F21722">
      <w:footerReference w:type="default" r:id="rId9"/>
      <w:pgSz w:w="16838" w:h="11906" w:orient="landscape"/>
      <w:pgMar w:top="1134" w:right="907" w:bottom="85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D21ED" w14:textId="77777777" w:rsidR="00895596" w:rsidRDefault="00895596" w:rsidP="00DC2ECD">
      <w:r>
        <w:separator/>
      </w:r>
    </w:p>
  </w:endnote>
  <w:endnote w:type="continuationSeparator" w:id="0">
    <w:p w14:paraId="5361462B" w14:textId="77777777" w:rsidR="00895596" w:rsidRDefault="00895596" w:rsidP="00DC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7BEE8" w14:textId="77777777" w:rsidR="005A2D43" w:rsidRDefault="005A2D43">
    <w:pPr>
      <w:pStyle w:val="Stopka"/>
      <w:jc w:val="right"/>
    </w:pPr>
    <w:r>
      <w:fldChar w:fldCharType="begin"/>
    </w:r>
    <w:r>
      <w:instrText xml:space="preserve"> PAGE   \* MERGEFORMAT </w:instrText>
    </w:r>
    <w:r>
      <w:fldChar w:fldCharType="separate"/>
    </w:r>
    <w:r w:rsidR="001148D1">
      <w:rPr>
        <w:noProof/>
      </w:rPr>
      <w:t>5</w:t>
    </w:r>
    <w:r>
      <w:fldChar w:fldCharType="end"/>
    </w:r>
  </w:p>
  <w:p w14:paraId="2573AB64" w14:textId="77777777" w:rsidR="005A2D43" w:rsidRDefault="005A2D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01FA4" w14:textId="77777777" w:rsidR="00895596" w:rsidRDefault="00895596" w:rsidP="00DC2ECD">
      <w:r>
        <w:separator/>
      </w:r>
    </w:p>
  </w:footnote>
  <w:footnote w:type="continuationSeparator" w:id="0">
    <w:p w14:paraId="54F88A2C" w14:textId="77777777" w:rsidR="00895596" w:rsidRDefault="00895596" w:rsidP="00DC2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40E3"/>
    <w:multiLevelType w:val="hybridMultilevel"/>
    <w:tmpl w:val="EE32A3A6"/>
    <w:lvl w:ilvl="0" w:tplc="5BBEF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1A02D1"/>
    <w:multiLevelType w:val="hybridMultilevel"/>
    <w:tmpl w:val="68945DEE"/>
    <w:lvl w:ilvl="0" w:tplc="58C4E0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E90E81"/>
    <w:multiLevelType w:val="hybridMultilevel"/>
    <w:tmpl w:val="000416D8"/>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 w15:restartNumberingAfterBreak="0">
    <w:nsid w:val="1B455FA9"/>
    <w:multiLevelType w:val="hybridMultilevel"/>
    <w:tmpl w:val="22E64A0E"/>
    <w:lvl w:ilvl="0" w:tplc="654ED6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2D25CA"/>
    <w:multiLevelType w:val="hybridMultilevel"/>
    <w:tmpl w:val="C1346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F24980"/>
    <w:multiLevelType w:val="hybridMultilevel"/>
    <w:tmpl w:val="2054B056"/>
    <w:lvl w:ilvl="0" w:tplc="B58426B4">
      <w:start w:val="1"/>
      <w:numFmt w:val="lowerLetter"/>
      <w:lvlText w:val="%1)"/>
      <w:lvlJc w:val="left"/>
      <w:pPr>
        <w:ind w:left="0" w:firstLine="0"/>
      </w:pPr>
      <w:rPr>
        <w:rFonts w:hint="default"/>
        <w:b w:val="0"/>
        <w:i w:val="0"/>
        <w:caps w:val="0"/>
        <w:strike w:val="0"/>
        <w:dstrike w:val="0"/>
        <w:vanish w:val="0"/>
        <w:color w:val="000000"/>
        <w:sz w:val="22"/>
        <w:szCs w:val="22"/>
        <w:vertAlign w:val="baseline"/>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2EC034E4"/>
    <w:multiLevelType w:val="hybridMultilevel"/>
    <w:tmpl w:val="8B06CD58"/>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E87783"/>
    <w:multiLevelType w:val="hybridMultilevel"/>
    <w:tmpl w:val="9C62C2E6"/>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0A7F65"/>
    <w:multiLevelType w:val="hybridMultilevel"/>
    <w:tmpl w:val="6D14360E"/>
    <w:lvl w:ilvl="0" w:tplc="383A969E">
      <w:start w:val="1"/>
      <w:numFmt w:val="decimal"/>
      <w:lvlText w:val="%1."/>
      <w:lvlJc w:val="left"/>
      <w:pPr>
        <w:ind w:left="927" w:hanging="360"/>
      </w:pPr>
      <w:rPr>
        <w:strike w:val="0"/>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2"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D24FFD"/>
    <w:multiLevelType w:val="hybridMultilevel"/>
    <w:tmpl w:val="C1346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BD5EA6"/>
    <w:multiLevelType w:val="hybridMultilevel"/>
    <w:tmpl w:val="C82834A4"/>
    <w:lvl w:ilvl="0" w:tplc="8BC8EDBA">
      <w:start w:val="1"/>
      <w:numFmt w:val="lowerLetter"/>
      <w:lvlText w:val="%1)"/>
      <w:lvlJc w:val="left"/>
      <w:pPr>
        <w:ind w:left="7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D36E2C"/>
    <w:multiLevelType w:val="hybridMultilevel"/>
    <w:tmpl w:val="AA340532"/>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C4001F"/>
    <w:multiLevelType w:val="hybridMultilevel"/>
    <w:tmpl w:val="91DACAA0"/>
    <w:lvl w:ilvl="0" w:tplc="E696A1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9145FC"/>
    <w:multiLevelType w:val="hybridMultilevel"/>
    <w:tmpl w:val="8E942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17"/>
  </w:num>
  <w:num w:numId="4">
    <w:abstractNumId w:val="0"/>
  </w:num>
  <w:num w:numId="5">
    <w:abstractNumId w:val="13"/>
  </w:num>
  <w:num w:numId="6">
    <w:abstractNumId w:val="1"/>
  </w:num>
  <w:num w:numId="7">
    <w:abstractNumId w:val="3"/>
  </w:num>
  <w:num w:numId="8">
    <w:abstractNumId w:val="15"/>
  </w:num>
  <w:num w:numId="9">
    <w:abstractNumId w:val="6"/>
  </w:num>
  <w:num w:numId="10">
    <w:abstractNumId w:val="7"/>
  </w:num>
  <w:num w:numId="11">
    <w:abstractNumId w:val="10"/>
  </w:num>
  <w:num w:numId="12">
    <w:abstractNumId w:val="11"/>
  </w:num>
  <w:num w:numId="13">
    <w:abstractNumId w:val="2"/>
  </w:num>
  <w:num w:numId="14">
    <w:abstractNumId w:val="8"/>
  </w:num>
  <w:num w:numId="15">
    <w:abstractNumId w:val="5"/>
  </w:num>
  <w:num w:numId="16">
    <w:abstractNumId w:val="9"/>
  </w:num>
  <w:num w:numId="17">
    <w:abstractNumId w:val="14"/>
  </w:num>
  <w:num w:numId="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CD"/>
    <w:rsid w:val="00006436"/>
    <w:rsid w:val="00007DFA"/>
    <w:rsid w:val="000124BE"/>
    <w:rsid w:val="00016DBD"/>
    <w:rsid w:val="00017AC5"/>
    <w:rsid w:val="00017B1B"/>
    <w:rsid w:val="00031F07"/>
    <w:rsid w:val="00032AF2"/>
    <w:rsid w:val="000338E6"/>
    <w:rsid w:val="000402D8"/>
    <w:rsid w:val="000528FB"/>
    <w:rsid w:val="0006114B"/>
    <w:rsid w:val="0006170B"/>
    <w:rsid w:val="000738A6"/>
    <w:rsid w:val="0007718C"/>
    <w:rsid w:val="00084619"/>
    <w:rsid w:val="000910FC"/>
    <w:rsid w:val="00095764"/>
    <w:rsid w:val="000C5E9E"/>
    <w:rsid w:val="000D35FD"/>
    <w:rsid w:val="000D7A7C"/>
    <w:rsid w:val="000E504B"/>
    <w:rsid w:val="000F4C63"/>
    <w:rsid w:val="000F72BE"/>
    <w:rsid w:val="001117C0"/>
    <w:rsid w:val="001148D1"/>
    <w:rsid w:val="001346E6"/>
    <w:rsid w:val="001365D5"/>
    <w:rsid w:val="00143356"/>
    <w:rsid w:val="001665CD"/>
    <w:rsid w:val="00171FE4"/>
    <w:rsid w:val="00173254"/>
    <w:rsid w:val="00176558"/>
    <w:rsid w:val="0018175A"/>
    <w:rsid w:val="001833A9"/>
    <w:rsid w:val="00190EF5"/>
    <w:rsid w:val="001A46ED"/>
    <w:rsid w:val="001C3FB4"/>
    <w:rsid w:val="001D13A7"/>
    <w:rsid w:val="002009CA"/>
    <w:rsid w:val="00201E97"/>
    <w:rsid w:val="00206797"/>
    <w:rsid w:val="0021534B"/>
    <w:rsid w:val="00220E53"/>
    <w:rsid w:val="00224B6D"/>
    <w:rsid w:val="0023034B"/>
    <w:rsid w:val="00231596"/>
    <w:rsid w:val="00231D78"/>
    <w:rsid w:val="002333AB"/>
    <w:rsid w:val="00242605"/>
    <w:rsid w:val="002519B4"/>
    <w:rsid w:val="00252EAF"/>
    <w:rsid w:val="002555D5"/>
    <w:rsid w:val="00260C0F"/>
    <w:rsid w:val="00274533"/>
    <w:rsid w:val="00274D74"/>
    <w:rsid w:val="0027562E"/>
    <w:rsid w:val="002815CC"/>
    <w:rsid w:val="00297F6D"/>
    <w:rsid w:val="002A00E5"/>
    <w:rsid w:val="002A4550"/>
    <w:rsid w:val="002C510B"/>
    <w:rsid w:val="002D0960"/>
    <w:rsid w:val="002D3970"/>
    <w:rsid w:val="002D589F"/>
    <w:rsid w:val="002E3C2A"/>
    <w:rsid w:val="00336D32"/>
    <w:rsid w:val="00354CDE"/>
    <w:rsid w:val="0036429E"/>
    <w:rsid w:val="00365567"/>
    <w:rsid w:val="0037615C"/>
    <w:rsid w:val="003C581B"/>
    <w:rsid w:val="003D0FC9"/>
    <w:rsid w:val="003E0974"/>
    <w:rsid w:val="003F5ED4"/>
    <w:rsid w:val="00407009"/>
    <w:rsid w:val="0043258E"/>
    <w:rsid w:val="00432A63"/>
    <w:rsid w:val="004368AA"/>
    <w:rsid w:val="00437BCA"/>
    <w:rsid w:val="00443162"/>
    <w:rsid w:val="00457B5B"/>
    <w:rsid w:val="00463DFB"/>
    <w:rsid w:val="00484009"/>
    <w:rsid w:val="004A120A"/>
    <w:rsid w:val="004A2D16"/>
    <w:rsid w:val="004B2C64"/>
    <w:rsid w:val="004C4B4C"/>
    <w:rsid w:val="004D64AA"/>
    <w:rsid w:val="004E6C36"/>
    <w:rsid w:val="004F787E"/>
    <w:rsid w:val="00502E87"/>
    <w:rsid w:val="00524B56"/>
    <w:rsid w:val="00535A0C"/>
    <w:rsid w:val="00555C26"/>
    <w:rsid w:val="00565013"/>
    <w:rsid w:val="005845E9"/>
    <w:rsid w:val="005847E0"/>
    <w:rsid w:val="0058773D"/>
    <w:rsid w:val="005951DD"/>
    <w:rsid w:val="005A2D43"/>
    <w:rsid w:val="005A7AE8"/>
    <w:rsid w:val="005B3F6A"/>
    <w:rsid w:val="005C75DF"/>
    <w:rsid w:val="006030A8"/>
    <w:rsid w:val="00603475"/>
    <w:rsid w:val="00633F22"/>
    <w:rsid w:val="00645CC1"/>
    <w:rsid w:val="00646A32"/>
    <w:rsid w:val="0066394C"/>
    <w:rsid w:val="00666209"/>
    <w:rsid w:val="006665D0"/>
    <w:rsid w:val="006765C2"/>
    <w:rsid w:val="00682A48"/>
    <w:rsid w:val="00683507"/>
    <w:rsid w:val="0069586C"/>
    <w:rsid w:val="006A2837"/>
    <w:rsid w:val="006A4A96"/>
    <w:rsid w:val="006B3C38"/>
    <w:rsid w:val="006D1F12"/>
    <w:rsid w:val="006D53A5"/>
    <w:rsid w:val="006E7424"/>
    <w:rsid w:val="006F336D"/>
    <w:rsid w:val="006F3635"/>
    <w:rsid w:val="006F38AF"/>
    <w:rsid w:val="006F7E6F"/>
    <w:rsid w:val="00701F55"/>
    <w:rsid w:val="00713F98"/>
    <w:rsid w:val="00716B3F"/>
    <w:rsid w:val="007317E7"/>
    <w:rsid w:val="00735595"/>
    <w:rsid w:val="00735AAB"/>
    <w:rsid w:val="00761520"/>
    <w:rsid w:val="00776A7D"/>
    <w:rsid w:val="00776FD2"/>
    <w:rsid w:val="0079434D"/>
    <w:rsid w:val="007A35B3"/>
    <w:rsid w:val="007A4B46"/>
    <w:rsid w:val="007A6925"/>
    <w:rsid w:val="007B789C"/>
    <w:rsid w:val="007D160A"/>
    <w:rsid w:val="007D6EAD"/>
    <w:rsid w:val="007E3505"/>
    <w:rsid w:val="007E58E9"/>
    <w:rsid w:val="007F214E"/>
    <w:rsid w:val="00805721"/>
    <w:rsid w:val="0081626F"/>
    <w:rsid w:val="0081667B"/>
    <w:rsid w:val="00831286"/>
    <w:rsid w:val="00840141"/>
    <w:rsid w:val="0084447A"/>
    <w:rsid w:val="00854B5D"/>
    <w:rsid w:val="00863999"/>
    <w:rsid w:val="00874B0C"/>
    <w:rsid w:val="00875C57"/>
    <w:rsid w:val="00881B1A"/>
    <w:rsid w:val="0089107B"/>
    <w:rsid w:val="0089153C"/>
    <w:rsid w:val="00895596"/>
    <w:rsid w:val="008A4795"/>
    <w:rsid w:val="008B409A"/>
    <w:rsid w:val="008C592E"/>
    <w:rsid w:val="008F5C29"/>
    <w:rsid w:val="008F777B"/>
    <w:rsid w:val="00922B3A"/>
    <w:rsid w:val="009234D8"/>
    <w:rsid w:val="00931969"/>
    <w:rsid w:val="009373E3"/>
    <w:rsid w:val="00937AA9"/>
    <w:rsid w:val="00943648"/>
    <w:rsid w:val="00947CF6"/>
    <w:rsid w:val="00963048"/>
    <w:rsid w:val="0096554F"/>
    <w:rsid w:val="009A27F2"/>
    <w:rsid w:val="009A52AE"/>
    <w:rsid w:val="009B2808"/>
    <w:rsid w:val="009B4C87"/>
    <w:rsid w:val="009D7130"/>
    <w:rsid w:val="009D71D4"/>
    <w:rsid w:val="009D7232"/>
    <w:rsid w:val="009E2D97"/>
    <w:rsid w:val="00A037DE"/>
    <w:rsid w:val="00A22712"/>
    <w:rsid w:val="00A3394E"/>
    <w:rsid w:val="00A52067"/>
    <w:rsid w:val="00A6055F"/>
    <w:rsid w:val="00A60939"/>
    <w:rsid w:val="00A659AC"/>
    <w:rsid w:val="00A77705"/>
    <w:rsid w:val="00AB0348"/>
    <w:rsid w:val="00AE796F"/>
    <w:rsid w:val="00B1073B"/>
    <w:rsid w:val="00B2349E"/>
    <w:rsid w:val="00B24F11"/>
    <w:rsid w:val="00B453ED"/>
    <w:rsid w:val="00B45C71"/>
    <w:rsid w:val="00B632DF"/>
    <w:rsid w:val="00B73977"/>
    <w:rsid w:val="00B74C59"/>
    <w:rsid w:val="00B753E4"/>
    <w:rsid w:val="00B833DD"/>
    <w:rsid w:val="00BC3CAC"/>
    <w:rsid w:val="00BD55A7"/>
    <w:rsid w:val="00BE1384"/>
    <w:rsid w:val="00BE7FD6"/>
    <w:rsid w:val="00BF3049"/>
    <w:rsid w:val="00BF68DA"/>
    <w:rsid w:val="00C2027F"/>
    <w:rsid w:val="00C25FF9"/>
    <w:rsid w:val="00C27167"/>
    <w:rsid w:val="00C34EC6"/>
    <w:rsid w:val="00C5267D"/>
    <w:rsid w:val="00C624F3"/>
    <w:rsid w:val="00C7252A"/>
    <w:rsid w:val="00CD03A6"/>
    <w:rsid w:val="00CD44D4"/>
    <w:rsid w:val="00CE53D1"/>
    <w:rsid w:val="00CF7557"/>
    <w:rsid w:val="00D030C5"/>
    <w:rsid w:val="00D054F0"/>
    <w:rsid w:val="00D2762E"/>
    <w:rsid w:val="00D35152"/>
    <w:rsid w:val="00D43E5C"/>
    <w:rsid w:val="00D454A4"/>
    <w:rsid w:val="00D47F83"/>
    <w:rsid w:val="00D6298D"/>
    <w:rsid w:val="00D64C31"/>
    <w:rsid w:val="00D654A8"/>
    <w:rsid w:val="00D75B9C"/>
    <w:rsid w:val="00D842BB"/>
    <w:rsid w:val="00DA211D"/>
    <w:rsid w:val="00DC0C0E"/>
    <w:rsid w:val="00DC2ECD"/>
    <w:rsid w:val="00DC35D8"/>
    <w:rsid w:val="00DD0D05"/>
    <w:rsid w:val="00DD1E4D"/>
    <w:rsid w:val="00DD59CE"/>
    <w:rsid w:val="00DD6A6B"/>
    <w:rsid w:val="00DF597C"/>
    <w:rsid w:val="00E02BE7"/>
    <w:rsid w:val="00E06A6A"/>
    <w:rsid w:val="00E14E13"/>
    <w:rsid w:val="00E158BA"/>
    <w:rsid w:val="00E20FAD"/>
    <w:rsid w:val="00E33F0B"/>
    <w:rsid w:val="00E37C75"/>
    <w:rsid w:val="00E407B3"/>
    <w:rsid w:val="00E5141E"/>
    <w:rsid w:val="00E51E61"/>
    <w:rsid w:val="00E57D6C"/>
    <w:rsid w:val="00E73BF6"/>
    <w:rsid w:val="00EA0561"/>
    <w:rsid w:val="00EA0A2B"/>
    <w:rsid w:val="00EB3A60"/>
    <w:rsid w:val="00ED0F36"/>
    <w:rsid w:val="00F00D2A"/>
    <w:rsid w:val="00F02192"/>
    <w:rsid w:val="00F06B89"/>
    <w:rsid w:val="00F10330"/>
    <w:rsid w:val="00F21722"/>
    <w:rsid w:val="00F3039D"/>
    <w:rsid w:val="00F35C5B"/>
    <w:rsid w:val="00F378EF"/>
    <w:rsid w:val="00F37C23"/>
    <w:rsid w:val="00F57B03"/>
    <w:rsid w:val="00F648BA"/>
    <w:rsid w:val="00F701BA"/>
    <w:rsid w:val="00F7311B"/>
    <w:rsid w:val="00F76AA9"/>
    <w:rsid w:val="00FA0D24"/>
    <w:rsid w:val="00FB119F"/>
    <w:rsid w:val="00FC3CD9"/>
    <w:rsid w:val="00FD5672"/>
    <w:rsid w:val="00FE05AF"/>
    <w:rsid w:val="00FE08B5"/>
    <w:rsid w:val="00FF270D"/>
    <w:rsid w:val="00FF3F6A"/>
    <w:rsid w:val="00FF5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175FE0"/>
  <w15:chartTrackingRefBased/>
  <w15:docId w15:val="{2A27D30C-7EB2-4808-BB0A-367C3C4A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19B4"/>
    <w:rPr>
      <w:rFonts w:ascii="Times New Roman" w:eastAsia="Times New Roman" w:hAnsi="Times New Roman"/>
      <w:sz w:val="24"/>
      <w:szCs w:val="24"/>
    </w:rPr>
  </w:style>
  <w:style w:type="paragraph" w:styleId="Nagwek3">
    <w:name w:val="heading 3"/>
    <w:basedOn w:val="Normalny"/>
    <w:next w:val="Normalny"/>
    <w:link w:val="Nagwek3Znak"/>
    <w:qFormat/>
    <w:rsid w:val="00DC2ECD"/>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C2ECD"/>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DC2ECD"/>
    <w:rPr>
      <w:sz w:val="20"/>
      <w:szCs w:val="20"/>
      <w:lang w:val="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DC2ECD"/>
    <w:rPr>
      <w:rFonts w:ascii="Times New Roman" w:eastAsia="Times New Roman" w:hAnsi="Times New Roman" w:cs="Times New Roman"/>
      <w:sz w:val="20"/>
      <w:szCs w:val="20"/>
      <w:lang w:val="x-none"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C2ECD"/>
    <w:rPr>
      <w:vertAlign w:val="superscript"/>
    </w:rPr>
  </w:style>
  <w:style w:type="paragraph" w:styleId="Stopka">
    <w:name w:val="footer"/>
    <w:basedOn w:val="Normalny"/>
    <w:link w:val="StopkaZnak"/>
    <w:uiPriority w:val="99"/>
    <w:rsid w:val="00DC2ECD"/>
    <w:pPr>
      <w:tabs>
        <w:tab w:val="center" w:pos="4536"/>
        <w:tab w:val="right" w:pos="9072"/>
      </w:tabs>
    </w:pPr>
    <w:rPr>
      <w:lang w:val="x-none"/>
    </w:rPr>
  </w:style>
  <w:style w:type="character" w:customStyle="1" w:styleId="StopkaZnak">
    <w:name w:val="Stopka Znak"/>
    <w:link w:val="Stopka"/>
    <w:uiPriority w:val="99"/>
    <w:rsid w:val="00DC2ECD"/>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Wykres,Akapit z listą1"/>
    <w:basedOn w:val="Normalny"/>
    <w:link w:val="AkapitzlistZnak"/>
    <w:uiPriority w:val="34"/>
    <w:qFormat/>
    <w:rsid w:val="00DC2ECD"/>
    <w:pPr>
      <w:ind w:left="720"/>
      <w:contextualSpacing/>
    </w:pPr>
    <w:rPr>
      <w:lang w:val="x-none" w:eastAsia="x-none"/>
    </w:rPr>
  </w:style>
  <w:style w:type="character" w:customStyle="1" w:styleId="AkapitzlistZnak">
    <w:name w:val="Akapit z listą Znak"/>
    <w:aliases w:val="Numerowanie Znak,List Paragraph Znak,Akapit z listą BS Znak,Wykres Znak,Akapit z listą1 Znak"/>
    <w:link w:val="Akapitzlist"/>
    <w:uiPriority w:val="34"/>
    <w:locked/>
    <w:rsid w:val="00DC2ECD"/>
    <w:rPr>
      <w:rFonts w:ascii="Times New Roman" w:eastAsia="Times New Roman" w:hAnsi="Times New Roman" w:cs="Times New Roman"/>
      <w:sz w:val="24"/>
      <w:szCs w:val="24"/>
      <w:lang w:val="x-none" w:eastAsia="x-none"/>
    </w:rPr>
  </w:style>
  <w:style w:type="character" w:styleId="Hipercze">
    <w:name w:val="Hyperlink"/>
    <w:uiPriority w:val="99"/>
    <w:unhideWhenUsed/>
    <w:rsid w:val="00DC2ECD"/>
    <w:rPr>
      <w:color w:val="0000FF"/>
      <w:u w:val="single"/>
    </w:rPr>
  </w:style>
  <w:style w:type="paragraph" w:styleId="Tekstdymka">
    <w:name w:val="Balloon Text"/>
    <w:basedOn w:val="Normalny"/>
    <w:link w:val="TekstdymkaZnak"/>
    <w:uiPriority w:val="99"/>
    <w:semiHidden/>
    <w:unhideWhenUsed/>
    <w:rsid w:val="00DC2ECD"/>
    <w:rPr>
      <w:rFonts w:ascii="Tahoma" w:hAnsi="Tahoma"/>
      <w:sz w:val="16"/>
      <w:szCs w:val="16"/>
      <w:lang w:val="x-none"/>
    </w:rPr>
  </w:style>
  <w:style w:type="character" w:customStyle="1" w:styleId="TekstdymkaZnak">
    <w:name w:val="Tekst dymka Znak"/>
    <w:link w:val="Tekstdymka"/>
    <w:uiPriority w:val="99"/>
    <w:semiHidden/>
    <w:rsid w:val="00DC2ECD"/>
    <w:rPr>
      <w:rFonts w:ascii="Tahoma" w:eastAsia="Times New Roman" w:hAnsi="Tahoma" w:cs="Tahoma"/>
      <w:sz w:val="16"/>
      <w:szCs w:val="16"/>
      <w:lang w:eastAsia="pl-PL"/>
    </w:rPr>
  </w:style>
  <w:style w:type="paragraph" w:customStyle="1" w:styleId="Default">
    <w:name w:val="Default"/>
    <w:qFormat/>
    <w:rsid w:val="00F06B89"/>
    <w:pPr>
      <w:autoSpaceDE w:val="0"/>
      <w:autoSpaceDN w:val="0"/>
      <w:adjustRightInd w:val="0"/>
    </w:pPr>
    <w:rPr>
      <w:rFonts w:ascii="Arial" w:hAnsi="Arial" w:cs="Arial"/>
      <w:color w:val="000000"/>
      <w:sz w:val="24"/>
      <w:szCs w:val="24"/>
    </w:rPr>
  </w:style>
  <w:style w:type="character" w:customStyle="1" w:styleId="FontStyle30">
    <w:name w:val="Font Style30"/>
    <w:rsid w:val="007E3505"/>
    <w:rPr>
      <w:rFonts w:ascii="Arial" w:hAnsi="Arial" w:cs="Arial"/>
      <w:color w:val="000000"/>
      <w:sz w:val="16"/>
      <w:szCs w:val="16"/>
    </w:rPr>
  </w:style>
  <w:style w:type="character" w:styleId="Odwoaniedokomentarza">
    <w:name w:val="annotation reference"/>
    <w:uiPriority w:val="99"/>
    <w:semiHidden/>
    <w:unhideWhenUsed/>
    <w:rsid w:val="009D71D4"/>
    <w:rPr>
      <w:sz w:val="16"/>
      <w:szCs w:val="16"/>
    </w:rPr>
  </w:style>
  <w:style w:type="paragraph" w:styleId="Tekstkomentarza">
    <w:name w:val="annotation text"/>
    <w:basedOn w:val="Normalny"/>
    <w:link w:val="TekstkomentarzaZnak"/>
    <w:uiPriority w:val="99"/>
    <w:semiHidden/>
    <w:unhideWhenUsed/>
    <w:rsid w:val="009D71D4"/>
    <w:rPr>
      <w:sz w:val="20"/>
      <w:szCs w:val="20"/>
      <w:lang w:val="x-none" w:eastAsia="x-none"/>
    </w:rPr>
  </w:style>
  <w:style w:type="character" w:customStyle="1" w:styleId="TekstkomentarzaZnak">
    <w:name w:val="Tekst komentarza Znak"/>
    <w:link w:val="Tekstkomentarza"/>
    <w:uiPriority w:val="99"/>
    <w:semiHidden/>
    <w:rsid w:val="009D71D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D71D4"/>
    <w:rPr>
      <w:b/>
      <w:bCs/>
    </w:rPr>
  </w:style>
  <w:style w:type="character" w:customStyle="1" w:styleId="TematkomentarzaZnak">
    <w:name w:val="Temat komentarza Znak"/>
    <w:link w:val="Tematkomentarza"/>
    <w:uiPriority w:val="99"/>
    <w:semiHidden/>
    <w:rsid w:val="009D71D4"/>
    <w:rPr>
      <w:rFonts w:ascii="Times New Roman" w:eastAsia="Times New Roman" w:hAnsi="Times New Roman"/>
      <w:b/>
      <w:bCs/>
    </w:rPr>
  </w:style>
  <w:style w:type="character" w:customStyle="1" w:styleId="apple-converted-space">
    <w:name w:val="apple-converted-space"/>
    <w:basedOn w:val="Domylnaczcionkaakapitu"/>
    <w:rsid w:val="008F777B"/>
  </w:style>
  <w:style w:type="paragraph" w:styleId="Nagwek">
    <w:name w:val="header"/>
    <w:basedOn w:val="Normalny"/>
    <w:link w:val="NagwekZnak"/>
    <w:uiPriority w:val="99"/>
    <w:unhideWhenUsed/>
    <w:rsid w:val="00F21722"/>
    <w:pPr>
      <w:tabs>
        <w:tab w:val="center" w:pos="4536"/>
        <w:tab w:val="right" w:pos="9072"/>
      </w:tabs>
    </w:pPr>
  </w:style>
  <w:style w:type="character" w:customStyle="1" w:styleId="NagwekZnak">
    <w:name w:val="Nagłówek Znak"/>
    <w:link w:val="Nagwek"/>
    <w:uiPriority w:val="99"/>
    <w:rsid w:val="00F2172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981">
      <w:bodyDiv w:val="1"/>
      <w:marLeft w:val="0"/>
      <w:marRight w:val="0"/>
      <w:marTop w:val="0"/>
      <w:marBottom w:val="0"/>
      <w:divBdr>
        <w:top w:val="none" w:sz="0" w:space="0" w:color="auto"/>
        <w:left w:val="none" w:sz="0" w:space="0" w:color="auto"/>
        <w:bottom w:val="none" w:sz="0" w:space="0" w:color="auto"/>
        <w:right w:val="none" w:sz="0" w:space="0" w:color="auto"/>
      </w:divBdr>
      <w:divsChild>
        <w:div w:id="107239891">
          <w:marLeft w:val="0"/>
          <w:marRight w:val="0"/>
          <w:marTop w:val="0"/>
          <w:marBottom w:val="0"/>
          <w:divBdr>
            <w:top w:val="none" w:sz="0" w:space="0" w:color="auto"/>
            <w:left w:val="none" w:sz="0" w:space="0" w:color="auto"/>
            <w:bottom w:val="none" w:sz="0" w:space="0" w:color="auto"/>
            <w:right w:val="none" w:sz="0" w:space="0" w:color="auto"/>
          </w:divBdr>
        </w:div>
        <w:div w:id="125511347">
          <w:marLeft w:val="0"/>
          <w:marRight w:val="0"/>
          <w:marTop w:val="0"/>
          <w:marBottom w:val="0"/>
          <w:divBdr>
            <w:top w:val="none" w:sz="0" w:space="0" w:color="auto"/>
            <w:left w:val="none" w:sz="0" w:space="0" w:color="auto"/>
            <w:bottom w:val="none" w:sz="0" w:space="0" w:color="auto"/>
            <w:right w:val="none" w:sz="0" w:space="0" w:color="auto"/>
          </w:divBdr>
        </w:div>
        <w:div w:id="252781394">
          <w:marLeft w:val="0"/>
          <w:marRight w:val="0"/>
          <w:marTop w:val="0"/>
          <w:marBottom w:val="0"/>
          <w:divBdr>
            <w:top w:val="none" w:sz="0" w:space="0" w:color="auto"/>
            <w:left w:val="none" w:sz="0" w:space="0" w:color="auto"/>
            <w:bottom w:val="none" w:sz="0" w:space="0" w:color="auto"/>
            <w:right w:val="none" w:sz="0" w:space="0" w:color="auto"/>
          </w:divBdr>
        </w:div>
        <w:div w:id="274872164">
          <w:marLeft w:val="0"/>
          <w:marRight w:val="0"/>
          <w:marTop w:val="0"/>
          <w:marBottom w:val="0"/>
          <w:divBdr>
            <w:top w:val="none" w:sz="0" w:space="0" w:color="auto"/>
            <w:left w:val="none" w:sz="0" w:space="0" w:color="auto"/>
            <w:bottom w:val="none" w:sz="0" w:space="0" w:color="auto"/>
            <w:right w:val="none" w:sz="0" w:space="0" w:color="auto"/>
          </w:divBdr>
        </w:div>
        <w:div w:id="345526113">
          <w:marLeft w:val="0"/>
          <w:marRight w:val="0"/>
          <w:marTop w:val="0"/>
          <w:marBottom w:val="0"/>
          <w:divBdr>
            <w:top w:val="none" w:sz="0" w:space="0" w:color="auto"/>
            <w:left w:val="none" w:sz="0" w:space="0" w:color="auto"/>
            <w:bottom w:val="none" w:sz="0" w:space="0" w:color="auto"/>
            <w:right w:val="none" w:sz="0" w:space="0" w:color="auto"/>
          </w:divBdr>
        </w:div>
        <w:div w:id="468404982">
          <w:marLeft w:val="0"/>
          <w:marRight w:val="0"/>
          <w:marTop w:val="0"/>
          <w:marBottom w:val="0"/>
          <w:divBdr>
            <w:top w:val="none" w:sz="0" w:space="0" w:color="auto"/>
            <w:left w:val="none" w:sz="0" w:space="0" w:color="auto"/>
            <w:bottom w:val="none" w:sz="0" w:space="0" w:color="auto"/>
            <w:right w:val="none" w:sz="0" w:space="0" w:color="auto"/>
          </w:divBdr>
        </w:div>
        <w:div w:id="532496047">
          <w:marLeft w:val="0"/>
          <w:marRight w:val="0"/>
          <w:marTop w:val="0"/>
          <w:marBottom w:val="0"/>
          <w:divBdr>
            <w:top w:val="none" w:sz="0" w:space="0" w:color="auto"/>
            <w:left w:val="none" w:sz="0" w:space="0" w:color="auto"/>
            <w:bottom w:val="none" w:sz="0" w:space="0" w:color="auto"/>
            <w:right w:val="none" w:sz="0" w:space="0" w:color="auto"/>
          </w:divBdr>
        </w:div>
        <w:div w:id="652025671">
          <w:marLeft w:val="0"/>
          <w:marRight w:val="0"/>
          <w:marTop w:val="0"/>
          <w:marBottom w:val="0"/>
          <w:divBdr>
            <w:top w:val="none" w:sz="0" w:space="0" w:color="auto"/>
            <w:left w:val="none" w:sz="0" w:space="0" w:color="auto"/>
            <w:bottom w:val="none" w:sz="0" w:space="0" w:color="auto"/>
            <w:right w:val="none" w:sz="0" w:space="0" w:color="auto"/>
          </w:divBdr>
        </w:div>
        <w:div w:id="667907629">
          <w:marLeft w:val="0"/>
          <w:marRight w:val="0"/>
          <w:marTop w:val="0"/>
          <w:marBottom w:val="0"/>
          <w:divBdr>
            <w:top w:val="none" w:sz="0" w:space="0" w:color="auto"/>
            <w:left w:val="none" w:sz="0" w:space="0" w:color="auto"/>
            <w:bottom w:val="none" w:sz="0" w:space="0" w:color="auto"/>
            <w:right w:val="none" w:sz="0" w:space="0" w:color="auto"/>
          </w:divBdr>
        </w:div>
        <w:div w:id="746539228">
          <w:marLeft w:val="0"/>
          <w:marRight w:val="0"/>
          <w:marTop w:val="0"/>
          <w:marBottom w:val="0"/>
          <w:divBdr>
            <w:top w:val="none" w:sz="0" w:space="0" w:color="auto"/>
            <w:left w:val="none" w:sz="0" w:space="0" w:color="auto"/>
            <w:bottom w:val="none" w:sz="0" w:space="0" w:color="auto"/>
            <w:right w:val="none" w:sz="0" w:space="0" w:color="auto"/>
          </w:divBdr>
        </w:div>
        <w:div w:id="943536093">
          <w:marLeft w:val="0"/>
          <w:marRight w:val="0"/>
          <w:marTop w:val="0"/>
          <w:marBottom w:val="0"/>
          <w:divBdr>
            <w:top w:val="none" w:sz="0" w:space="0" w:color="auto"/>
            <w:left w:val="none" w:sz="0" w:space="0" w:color="auto"/>
            <w:bottom w:val="none" w:sz="0" w:space="0" w:color="auto"/>
            <w:right w:val="none" w:sz="0" w:space="0" w:color="auto"/>
          </w:divBdr>
        </w:div>
        <w:div w:id="962617455">
          <w:marLeft w:val="0"/>
          <w:marRight w:val="0"/>
          <w:marTop w:val="0"/>
          <w:marBottom w:val="0"/>
          <w:divBdr>
            <w:top w:val="none" w:sz="0" w:space="0" w:color="auto"/>
            <w:left w:val="none" w:sz="0" w:space="0" w:color="auto"/>
            <w:bottom w:val="none" w:sz="0" w:space="0" w:color="auto"/>
            <w:right w:val="none" w:sz="0" w:space="0" w:color="auto"/>
          </w:divBdr>
        </w:div>
        <w:div w:id="974137580">
          <w:marLeft w:val="0"/>
          <w:marRight w:val="0"/>
          <w:marTop w:val="0"/>
          <w:marBottom w:val="0"/>
          <w:divBdr>
            <w:top w:val="none" w:sz="0" w:space="0" w:color="auto"/>
            <w:left w:val="none" w:sz="0" w:space="0" w:color="auto"/>
            <w:bottom w:val="none" w:sz="0" w:space="0" w:color="auto"/>
            <w:right w:val="none" w:sz="0" w:space="0" w:color="auto"/>
          </w:divBdr>
        </w:div>
        <w:div w:id="1300381359">
          <w:marLeft w:val="0"/>
          <w:marRight w:val="0"/>
          <w:marTop w:val="0"/>
          <w:marBottom w:val="0"/>
          <w:divBdr>
            <w:top w:val="none" w:sz="0" w:space="0" w:color="auto"/>
            <w:left w:val="none" w:sz="0" w:space="0" w:color="auto"/>
            <w:bottom w:val="none" w:sz="0" w:space="0" w:color="auto"/>
            <w:right w:val="none" w:sz="0" w:space="0" w:color="auto"/>
          </w:divBdr>
        </w:div>
        <w:div w:id="1605528211">
          <w:marLeft w:val="0"/>
          <w:marRight w:val="0"/>
          <w:marTop w:val="0"/>
          <w:marBottom w:val="0"/>
          <w:divBdr>
            <w:top w:val="none" w:sz="0" w:space="0" w:color="auto"/>
            <w:left w:val="none" w:sz="0" w:space="0" w:color="auto"/>
            <w:bottom w:val="none" w:sz="0" w:space="0" w:color="auto"/>
            <w:right w:val="none" w:sz="0" w:space="0" w:color="auto"/>
          </w:divBdr>
        </w:div>
        <w:div w:id="1652446490">
          <w:marLeft w:val="0"/>
          <w:marRight w:val="0"/>
          <w:marTop w:val="0"/>
          <w:marBottom w:val="0"/>
          <w:divBdr>
            <w:top w:val="none" w:sz="0" w:space="0" w:color="auto"/>
            <w:left w:val="none" w:sz="0" w:space="0" w:color="auto"/>
            <w:bottom w:val="none" w:sz="0" w:space="0" w:color="auto"/>
            <w:right w:val="none" w:sz="0" w:space="0" w:color="auto"/>
          </w:divBdr>
        </w:div>
        <w:div w:id="1695811935">
          <w:marLeft w:val="0"/>
          <w:marRight w:val="0"/>
          <w:marTop w:val="0"/>
          <w:marBottom w:val="0"/>
          <w:divBdr>
            <w:top w:val="none" w:sz="0" w:space="0" w:color="auto"/>
            <w:left w:val="none" w:sz="0" w:space="0" w:color="auto"/>
            <w:bottom w:val="none" w:sz="0" w:space="0" w:color="auto"/>
            <w:right w:val="none" w:sz="0" w:space="0" w:color="auto"/>
          </w:divBdr>
        </w:div>
        <w:div w:id="1784112747">
          <w:marLeft w:val="0"/>
          <w:marRight w:val="0"/>
          <w:marTop w:val="0"/>
          <w:marBottom w:val="0"/>
          <w:divBdr>
            <w:top w:val="none" w:sz="0" w:space="0" w:color="auto"/>
            <w:left w:val="none" w:sz="0" w:space="0" w:color="auto"/>
            <w:bottom w:val="none" w:sz="0" w:space="0" w:color="auto"/>
            <w:right w:val="none" w:sz="0" w:space="0" w:color="auto"/>
          </w:divBdr>
        </w:div>
        <w:div w:id="1977637284">
          <w:marLeft w:val="0"/>
          <w:marRight w:val="0"/>
          <w:marTop w:val="0"/>
          <w:marBottom w:val="0"/>
          <w:divBdr>
            <w:top w:val="none" w:sz="0" w:space="0" w:color="auto"/>
            <w:left w:val="none" w:sz="0" w:space="0" w:color="auto"/>
            <w:bottom w:val="none" w:sz="0" w:space="0" w:color="auto"/>
            <w:right w:val="none" w:sz="0" w:space="0" w:color="auto"/>
          </w:divBdr>
        </w:div>
        <w:div w:id="2035226649">
          <w:marLeft w:val="0"/>
          <w:marRight w:val="0"/>
          <w:marTop w:val="0"/>
          <w:marBottom w:val="0"/>
          <w:divBdr>
            <w:top w:val="none" w:sz="0" w:space="0" w:color="auto"/>
            <w:left w:val="none" w:sz="0" w:space="0" w:color="auto"/>
            <w:bottom w:val="none" w:sz="0" w:space="0" w:color="auto"/>
            <w:right w:val="none" w:sz="0" w:space="0" w:color="auto"/>
          </w:divBdr>
        </w:div>
      </w:divsChild>
    </w:div>
    <w:div w:id="450319381">
      <w:bodyDiv w:val="1"/>
      <w:marLeft w:val="0"/>
      <w:marRight w:val="0"/>
      <w:marTop w:val="0"/>
      <w:marBottom w:val="0"/>
      <w:divBdr>
        <w:top w:val="none" w:sz="0" w:space="0" w:color="auto"/>
        <w:left w:val="none" w:sz="0" w:space="0" w:color="auto"/>
        <w:bottom w:val="none" w:sz="0" w:space="0" w:color="auto"/>
        <w:right w:val="none" w:sz="0" w:space="0" w:color="auto"/>
      </w:divBdr>
      <w:divsChild>
        <w:div w:id="459809495">
          <w:marLeft w:val="0"/>
          <w:marRight w:val="0"/>
          <w:marTop w:val="0"/>
          <w:marBottom w:val="0"/>
          <w:divBdr>
            <w:top w:val="none" w:sz="0" w:space="0" w:color="auto"/>
            <w:left w:val="none" w:sz="0" w:space="0" w:color="auto"/>
            <w:bottom w:val="none" w:sz="0" w:space="0" w:color="auto"/>
            <w:right w:val="none" w:sz="0" w:space="0" w:color="auto"/>
          </w:divBdr>
        </w:div>
        <w:div w:id="737362547">
          <w:marLeft w:val="0"/>
          <w:marRight w:val="0"/>
          <w:marTop w:val="0"/>
          <w:marBottom w:val="0"/>
          <w:divBdr>
            <w:top w:val="none" w:sz="0" w:space="0" w:color="auto"/>
            <w:left w:val="none" w:sz="0" w:space="0" w:color="auto"/>
            <w:bottom w:val="none" w:sz="0" w:space="0" w:color="auto"/>
            <w:right w:val="none" w:sz="0" w:space="0" w:color="auto"/>
          </w:divBdr>
        </w:div>
        <w:div w:id="856506129">
          <w:marLeft w:val="0"/>
          <w:marRight w:val="0"/>
          <w:marTop w:val="0"/>
          <w:marBottom w:val="0"/>
          <w:divBdr>
            <w:top w:val="none" w:sz="0" w:space="0" w:color="auto"/>
            <w:left w:val="none" w:sz="0" w:space="0" w:color="auto"/>
            <w:bottom w:val="none" w:sz="0" w:space="0" w:color="auto"/>
            <w:right w:val="none" w:sz="0" w:space="0" w:color="auto"/>
          </w:divBdr>
        </w:div>
        <w:div w:id="1491746774">
          <w:marLeft w:val="0"/>
          <w:marRight w:val="0"/>
          <w:marTop w:val="0"/>
          <w:marBottom w:val="0"/>
          <w:divBdr>
            <w:top w:val="none" w:sz="0" w:space="0" w:color="auto"/>
            <w:left w:val="none" w:sz="0" w:space="0" w:color="auto"/>
            <w:bottom w:val="none" w:sz="0" w:space="0" w:color="auto"/>
            <w:right w:val="none" w:sz="0" w:space="0" w:color="auto"/>
          </w:divBdr>
        </w:div>
      </w:divsChild>
    </w:div>
    <w:div w:id="495655642">
      <w:bodyDiv w:val="1"/>
      <w:marLeft w:val="0"/>
      <w:marRight w:val="0"/>
      <w:marTop w:val="0"/>
      <w:marBottom w:val="0"/>
      <w:divBdr>
        <w:top w:val="none" w:sz="0" w:space="0" w:color="auto"/>
        <w:left w:val="none" w:sz="0" w:space="0" w:color="auto"/>
        <w:bottom w:val="none" w:sz="0" w:space="0" w:color="auto"/>
        <w:right w:val="none" w:sz="0" w:space="0" w:color="auto"/>
      </w:divBdr>
      <w:divsChild>
        <w:div w:id="1932541816">
          <w:marLeft w:val="0"/>
          <w:marRight w:val="0"/>
          <w:marTop w:val="0"/>
          <w:marBottom w:val="0"/>
          <w:divBdr>
            <w:top w:val="none" w:sz="0" w:space="0" w:color="auto"/>
            <w:left w:val="none" w:sz="0" w:space="0" w:color="auto"/>
            <w:bottom w:val="none" w:sz="0" w:space="0" w:color="auto"/>
            <w:right w:val="none" w:sz="0" w:space="0" w:color="auto"/>
          </w:divBdr>
        </w:div>
        <w:div w:id="1943293478">
          <w:marLeft w:val="0"/>
          <w:marRight w:val="0"/>
          <w:marTop w:val="0"/>
          <w:marBottom w:val="0"/>
          <w:divBdr>
            <w:top w:val="none" w:sz="0" w:space="0" w:color="auto"/>
            <w:left w:val="none" w:sz="0" w:space="0" w:color="auto"/>
            <w:bottom w:val="none" w:sz="0" w:space="0" w:color="auto"/>
            <w:right w:val="none" w:sz="0" w:space="0" w:color="auto"/>
          </w:divBdr>
        </w:div>
      </w:divsChild>
    </w:div>
    <w:div w:id="836960299">
      <w:bodyDiv w:val="1"/>
      <w:marLeft w:val="0"/>
      <w:marRight w:val="0"/>
      <w:marTop w:val="0"/>
      <w:marBottom w:val="0"/>
      <w:divBdr>
        <w:top w:val="none" w:sz="0" w:space="0" w:color="auto"/>
        <w:left w:val="none" w:sz="0" w:space="0" w:color="auto"/>
        <w:bottom w:val="none" w:sz="0" w:space="0" w:color="auto"/>
        <w:right w:val="none" w:sz="0" w:space="0" w:color="auto"/>
      </w:divBdr>
    </w:div>
    <w:div w:id="1197349061">
      <w:bodyDiv w:val="1"/>
      <w:marLeft w:val="0"/>
      <w:marRight w:val="0"/>
      <w:marTop w:val="0"/>
      <w:marBottom w:val="0"/>
      <w:divBdr>
        <w:top w:val="none" w:sz="0" w:space="0" w:color="auto"/>
        <w:left w:val="none" w:sz="0" w:space="0" w:color="auto"/>
        <w:bottom w:val="none" w:sz="0" w:space="0" w:color="auto"/>
        <w:right w:val="none" w:sz="0" w:space="0" w:color="auto"/>
      </w:divBdr>
      <w:divsChild>
        <w:div w:id="282273640">
          <w:marLeft w:val="0"/>
          <w:marRight w:val="0"/>
          <w:marTop w:val="0"/>
          <w:marBottom w:val="0"/>
          <w:divBdr>
            <w:top w:val="none" w:sz="0" w:space="0" w:color="auto"/>
            <w:left w:val="none" w:sz="0" w:space="0" w:color="auto"/>
            <w:bottom w:val="none" w:sz="0" w:space="0" w:color="auto"/>
            <w:right w:val="none" w:sz="0" w:space="0" w:color="auto"/>
          </w:divBdr>
        </w:div>
        <w:div w:id="318078606">
          <w:marLeft w:val="0"/>
          <w:marRight w:val="0"/>
          <w:marTop w:val="0"/>
          <w:marBottom w:val="0"/>
          <w:divBdr>
            <w:top w:val="none" w:sz="0" w:space="0" w:color="auto"/>
            <w:left w:val="none" w:sz="0" w:space="0" w:color="auto"/>
            <w:bottom w:val="none" w:sz="0" w:space="0" w:color="auto"/>
            <w:right w:val="none" w:sz="0" w:space="0" w:color="auto"/>
          </w:divBdr>
        </w:div>
        <w:div w:id="832142029">
          <w:marLeft w:val="0"/>
          <w:marRight w:val="0"/>
          <w:marTop w:val="0"/>
          <w:marBottom w:val="0"/>
          <w:divBdr>
            <w:top w:val="none" w:sz="0" w:space="0" w:color="auto"/>
            <w:left w:val="none" w:sz="0" w:space="0" w:color="auto"/>
            <w:bottom w:val="none" w:sz="0" w:space="0" w:color="auto"/>
            <w:right w:val="none" w:sz="0" w:space="0" w:color="auto"/>
          </w:divBdr>
        </w:div>
        <w:div w:id="1245534283">
          <w:marLeft w:val="0"/>
          <w:marRight w:val="0"/>
          <w:marTop w:val="0"/>
          <w:marBottom w:val="0"/>
          <w:divBdr>
            <w:top w:val="none" w:sz="0" w:space="0" w:color="auto"/>
            <w:left w:val="none" w:sz="0" w:space="0" w:color="auto"/>
            <w:bottom w:val="none" w:sz="0" w:space="0" w:color="auto"/>
            <w:right w:val="none" w:sz="0" w:space="0" w:color="auto"/>
          </w:divBdr>
        </w:div>
        <w:div w:id="1438869745">
          <w:marLeft w:val="0"/>
          <w:marRight w:val="0"/>
          <w:marTop w:val="0"/>
          <w:marBottom w:val="0"/>
          <w:divBdr>
            <w:top w:val="none" w:sz="0" w:space="0" w:color="auto"/>
            <w:left w:val="none" w:sz="0" w:space="0" w:color="auto"/>
            <w:bottom w:val="none" w:sz="0" w:space="0" w:color="auto"/>
            <w:right w:val="none" w:sz="0" w:space="0" w:color="auto"/>
          </w:divBdr>
        </w:div>
      </w:divsChild>
    </w:div>
    <w:div w:id="1353845530">
      <w:bodyDiv w:val="1"/>
      <w:marLeft w:val="0"/>
      <w:marRight w:val="0"/>
      <w:marTop w:val="0"/>
      <w:marBottom w:val="0"/>
      <w:divBdr>
        <w:top w:val="none" w:sz="0" w:space="0" w:color="auto"/>
        <w:left w:val="none" w:sz="0" w:space="0" w:color="auto"/>
        <w:bottom w:val="none" w:sz="0" w:space="0" w:color="auto"/>
        <w:right w:val="none" w:sz="0" w:space="0" w:color="auto"/>
      </w:divBdr>
      <w:divsChild>
        <w:div w:id="1498956837">
          <w:marLeft w:val="0"/>
          <w:marRight w:val="0"/>
          <w:marTop w:val="0"/>
          <w:marBottom w:val="0"/>
          <w:divBdr>
            <w:top w:val="none" w:sz="0" w:space="0" w:color="auto"/>
            <w:left w:val="none" w:sz="0" w:space="0" w:color="auto"/>
            <w:bottom w:val="none" w:sz="0" w:space="0" w:color="auto"/>
            <w:right w:val="none" w:sz="0" w:space="0" w:color="auto"/>
          </w:divBdr>
        </w:div>
        <w:div w:id="1528175971">
          <w:marLeft w:val="0"/>
          <w:marRight w:val="0"/>
          <w:marTop w:val="0"/>
          <w:marBottom w:val="0"/>
          <w:divBdr>
            <w:top w:val="none" w:sz="0" w:space="0" w:color="auto"/>
            <w:left w:val="none" w:sz="0" w:space="0" w:color="auto"/>
            <w:bottom w:val="none" w:sz="0" w:space="0" w:color="auto"/>
            <w:right w:val="none" w:sz="0" w:space="0" w:color="auto"/>
          </w:divBdr>
        </w:div>
        <w:div w:id="1570841815">
          <w:marLeft w:val="0"/>
          <w:marRight w:val="0"/>
          <w:marTop w:val="0"/>
          <w:marBottom w:val="0"/>
          <w:divBdr>
            <w:top w:val="none" w:sz="0" w:space="0" w:color="auto"/>
            <w:left w:val="none" w:sz="0" w:space="0" w:color="auto"/>
            <w:bottom w:val="none" w:sz="0" w:space="0" w:color="auto"/>
            <w:right w:val="none" w:sz="0" w:space="0" w:color="auto"/>
          </w:divBdr>
        </w:div>
        <w:div w:id="1672680878">
          <w:marLeft w:val="0"/>
          <w:marRight w:val="0"/>
          <w:marTop w:val="0"/>
          <w:marBottom w:val="0"/>
          <w:divBdr>
            <w:top w:val="none" w:sz="0" w:space="0" w:color="auto"/>
            <w:left w:val="none" w:sz="0" w:space="0" w:color="auto"/>
            <w:bottom w:val="none" w:sz="0" w:space="0" w:color="auto"/>
            <w:right w:val="none" w:sz="0" w:space="0" w:color="auto"/>
          </w:divBdr>
        </w:div>
      </w:divsChild>
    </w:div>
    <w:div w:id="1453862307">
      <w:bodyDiv w:val="1"/>
      <w:marLeft w:val="0"/>
      <w:marRight w:val="0"/>
      <w:marTop w:val="0"/>
      <w:marBottom w:val="0"/>
      <w:divBdr>
        <w:top w:val="none" w:sz="0" w:space="0" w:color="auto"/>
        <w:left w:val="none" w:sz="0" w:space="0" w:color="auto"/>
        <w:bottom w:val="none" w:sz="0" w:space="0" w:color="auto"/>
        <w:right w:val="none" w:sz="0" w:space="0" w:color="auto"/>
      </w:divBdr>
    </w:div>
    <w:div w:id="1736120571">
      <w:bodyDiv w:val="1"/>
      <w:marLeft w:val="0"/>
      <w:marRight w:val="0"/>
      <w:marTop w:val="0"/>
      <w:marBottom w:val="0"/>
      <w:divBdr>
        <w:top w:val="none" w:sz="0" w:space="0" w:color="auto"/>
        <w:left w:val="none" w:sz="0" w:space="0" w:color="auto"/>
        <w:bottom w:val="none" w:sz="0" w:space="0" w:color="auto"/>
        <w:right w:val="none" w:sz="0" w:space="0" w:color="auto"/>
      </w:divBdr>
      <w:divsChild>
        <w:div w:id="21977582">
          <w:marLeft w:val="0"/>
          <w:marRight w:val="0"/>
          <w:marTop w:val="0"/>
          <w:marBottom w:val="0"/>
          <w:divBdr>
            <w:top w:val="none" w:sz="0" w:space="0" w:color="auto"/>
            <w:left w:val="none" w:sz="0" w:space="0" w:color="auto"/>
            <w:bottom w:val="none" w:sz="0" w:space="0" w:color="auto"/>
            <w:right w:val="none" w:sz="0" w:space="0" w:color="auto"/>
          </w:divBdr>
        </w:div>
        <w:div w:id="22023929">
          <w:marLeft w:val="0"/>
          <w:marRight w:val="0"/>
          <w:marTop w:val="0"/>
          <w:marBottom w:val="0"/>
          <w:divBdr>
            <w:top w:val="none" w:sz="0" w:space="0" w:color="auto"/>
            <w:left w:val="none" w:sz="0" w:space="0" w:color="auto"/>
            <w:bottom w:val="none" w:sz="0" w:space="0" w:color="auto"/>
            <w:right w:val="none" w:sz="0" w:space="0" w:color="auto"/>
          </w:divBdr>
        </w:div>
        <w:div w:id="354234049">
          <w:marLeft w:val="0"/>
          <w:marRight w:val="0"/>
          <w:marTop w:val="0"/>
          <w:marBottom w:val="0"/>
          <w:divBdr>
            <w:top w:val="none" w:sz="0" w:space="0" w:color="auto"/>
            <w:left w:val="none" w:sz="0" w:space="0" w:color="auto"/>
            <w:bottom w:val="none" w:sz="0" w:space="0" w:color="auto"/>
            <w:right w:val="none" w:sz="0" w:space="0" w:color="auto"/>
          </w:divBdr>
        </w:div>
        <w:div w:id="410198180">
          <w:marLeft w:val="0"/>
          <w:marRight w:val="0"/>
          <w:marTop w:val="0"/>
          <w:marBottom w:val="0"/>
          <w:divBdr>
            <w:top w:val="none" w:sz="0" w:space="0" w:color="auto"/>
            <w:left w:val="none" w:sz="0" w:space="0" w:color="auto"/>
            <w:bottom w:val="none" w:sz="0" w:space="0" w:color="auto"/>
            <w:right w:val="none" w:sz="0" w:space="0" w:color="auto"/>
          </w:divBdr>
        </w:div>
        <w:div w:id="740298804">
          <w:marLeft w:val="0"/>
          <w:marRight w:val="0"/>
          <w:marTop w:val="0"/>
          <w:marBottom w:val="0"/>
          <w:divBdr>
            <w:top w:val="none" w:sz="0" w:space="0" w:color="auto"/>
            <w:left w:val="none" w:sz="0" w:space="0" w:color="auto"/>
            <w:bottom w:val="none" w:sz="0" w:space="0" w:color="auto"/>
            <w:right w:val="none" w:sz="0" w:space="0" w:color="auto"/>
          </w:divBdr>
        </w:div>
        <w:div w:id="1003779910">
          <w:marLeft w:val="0"/>
          <w:marRight w:val="0"/>
          <w:marTop w:val="0"/>
          <w:marBottom w:val="0"/>
          <w:divBdr>
            <w:top w:val="none" w:sz="0" w:space="0" w:color="auto"/>
            <w:left w:val="none" w:sz="0" w:space="0" w:color="auto"/>
            <w:bottom w:val="none" w:sz="0" w:space="0" w:color="auto"/>
            <w:right w:val="none" w:sz="0" w:space="0" w:color="auto"/>
          </w:divBdr>
        </w:div>
        <w:div w:id="1126779482">
          <w:marLeft w:val="0"/>
          <w:marRight w:val="0"/>
          <w:marTop w:val="0"/>
          <w:marBottom w:val="0"/>
          <w:divBdr>
            <w:top w:val="none" w:sz="0" w:space="0" w:color="auto"/>
            <w:left w:val="none" w:sz="0" w:space="0" w:color="auto"/>
            <w:bottom w:val="none" w:sz="0" w:space="0" w:color="auto"/>
            <w:right w:val="none" w:sz="0" w:space="0" w:color="auto"/>
          </w:divBdr>
        </w:div>
        <w:div w:id="1394742849">
          <w:marLeft w:val="0"/>
          <w:marRight w:val="0"/>
          <w:marTop w:val="0"/>
          <w:marBottom w:val="0"/>
          <w:divBdr>
            <w:top w:val="none" w:sz="0" w:space="0" w:color="auto"/>
            <w:left w:val="none" w:sz="0" w:space="0" w:color="auto"/>
            <w:bottom w:val="none" w:sz="0" w:space="0" w:color="auto"/>
            <w:right w:val="none" w:sz="0" w:space="0" w:color="auto"/>
          </w:divBdr>
        </w:div>
        <w:div w:id="1516068537">
          <w:marLeft w:val="0"/>
          <w:marRight w:val="0"/>
          <w:marTop w:val="0"/>
          <w:marBottom w:val="0"/>
          <w:divBdr>
            <w:top w:val="none" w:sz="0" w:space="0" w:color="auto"/>
            <w:left w:val="none" w:sz="0" w:space="0" w:color="auto"/>
            <w:bottom w:val="none" w:sz="0" w:space="0" w:color="auto"/>
            <w:right w:val="none" w:sz="0" w:space="0" w:color="auto"/>
          </w:divBdr>
        </w:div>
        <w:div w:id="1517840865">
          <w:marLeft w:val="0"/>
          <w:marRight w:val="0"/>
          <w:marTop w:val="0"/>
          <w:marBottom w:val="0"/>
          <w:divBdr>
            <w:top w:val="none" w:sz="0" w:space="0" w:color="auto"/>
            <w:left w:val="none" w:sz="0" w:space="0" w:color="auto"/>
            <w:bottom w:val="none" w:sz="0" w:space="0" w:color="auto"/>
            <w:right w:val="none" w:sz="0" w:space="0" w:color="auto"/>
          </w:divBdr>
        </w:div>
        <w:div w:id="1818109366">
          <w:marLeft w:val="0"/>
          <w:marRight w:val="0"/>
          <w:marTop w:val="0"/>
          <w:marBottom w:val="0"/>
          <w:divBdr>
            <w:top w:val="none" w:sz="0" w:space="0" w:color="auto"/>
            <w:left w:val="none" w:sz="0" w:space="0" w:color="auto"/>
            <w:bottom w:val="none" w:sz="0" w:space="0" w:color="auto"/>
            <w:right w:val="none" w:sz="0" w:space="0" w:color="auto"/>
          </w:divBdr>
        </w:div>
        <w:div w:id="1896350216">
          <w:marLeft w:val="0"/>
          <w:marRight w:val="0"/>
          <w:marTop w:val="0"/>
          <w:marBottom w:val="0"/>
          <w:divBdr>
            <w:top w:val="none" w:sz="0" w:space="0" w:color="auto"/>
            <w:left w:val="none" w:sz="0" w:space="0" w:color="auto"/>
            <w:bottom w:val="none" w:sz="0" w:space="0" w:color="auto"/>
            <w:right w:val="none" w:sz="0" w:space="0" w:color="auto"/>
          </w:divBdr>
        </w:div>
      </w:divsChild>
    </w:div>
    <w:div w:id="1767847840">
      <w:bodyDiv w:val="1"/>
      <w:marLeft w:val="0"/>
      <w:marRight w:val="0"/>
      <w:marTop w:val="0"/>
      <w:marBottom w:val="0"/>
      <w:divBdr>
        <w:top w:val="none" w:sz="0" w:space="0" w:color="auto"/>
        <w:left w:val="none" w:sz="0" w:space="0" w:color="auto"/>
        <w:bottom w:val="none" w:sz="0" w:space="0" w:color="auto"/>
        <w:right w:val="none" w:sz="0" w:space="0" w:color="auto"/>
      </w:divBdr>
      <w:divsChild>
        <w:div w:id="267587408">
          <w:marLeft w:val="0"/>
          <w:marRight w:val="0"/>
          <w:marTop w:val="0"/>
          <w:marBottom w:val="0"/>
          <w:divBdr>
            <w:top w:val="none" w:sz="0" w:space="0" w:color="auto"/>
            <w:left w:val="none" w:sz="0" w:space="0" w:color="auto"/>
            <w:bottom w:val="none" w:sz="0" w:space="0" w:color="auto"/>
            <w:right w:val="none" w:sz="0" w:space="0" w:color="auto"/>
          </w:divBdr>
        </w:div>
        <w:div w:id="1873686501">
          <w:marLeft w:val="0"/>
          <w:marRight w:val="0"/>
          <w:marTop w:val="0"/>
          <w:marBottom w:val="0"/>
          <w:divBdr>
            <w:top w:val="none" w:sz="0" w:space="0" w:color="auto"/>
            <w:left w:val="none" w:sz="0" w:space="0" w:color="auto"/>
            <w:bottom w:val="none" w:sz="0" w:space="0" w:color="auto"/>
            <w:right w:val="none" w:sz="0" w:space="0" w:color="auto"/>
          </w:divBdr>
        </w:div>
        <w:div w:id="2008360556">
          <w:marLeft w:val="0"/>
          <w:marRight w:val="0"/>
          <w:marTop w:val="0"/>
          <w:marBottom w:val="0"/>
          <w:divBdr>
            <w:top w:val="none" w:sz="0" w:space="0" w:color="auto"/>
            <w:left w:val="none" w:sz="0" w:space="0" w:color="auto"/>
            <w:bottom w:val="none" w:sz="0" w:space="0" w:color="auto"/>
            <w:right w:val="none" w:sz="0" w:space="0" w:color="auto"/>
          </w:divBdr>
        </w:div>
        <w:div w:id="2104566133">
          <w:marLeft w:val="0"/>
          <w:marRight w:val="0"/>
          <w:marTop w:val="0"/>
          <w:marBottom w:val="0"/>
          <w:divBdr>
            <w:top w:val="none" w:sz="0" w:space="0" w:color="auto"/>
            <w:left w:val="none" w:sz="0" w:space="0" w:color="auto"/>
            <w:bottom w:val="none" w:sz="0" w:space="0" w:color="auto"/>
            <w:right w:val="none" w:sz="0" w:space="0" w:color="auto"/>
          </w:divBdr>
        </w:div>
      </w:divsChild>
    </w:div>
    <w:div w:id="1916235869">
      <w:bodyDiv w:val="1"/>
      <w:marLeft w:val="0"/>
      <w:marRight w:val="0"/>
      <w:marTop w:val="0"/>
      <w:marBottom w:val="0"/>
      <w:divBdr>
        <w:top w:val="none" w:sz="0" w:space="0" w:color="auto"/>
        <w:left w:val="none" w:sz="0" w:space="0" w:color="auto"/>
        <w:bottom w:val="none" w:sz="0" w:space="0" w:color="auto"/>
        <w:right w:val="none" w:sz="0" w:space="0" w:color="auto"/>
      </w:divBdr>
      <w:divsChild>
        <w:div w:id="42677098">
          <w:marLeft w:val="0"/>
          <w:marRight w:val="0"/>
          <w:marTop w:val="0"/>
          <w:marBottom w:val="0"/>
          <w:divBdr>
            <w:top w:val="none" w:sz="0" w:space="0" w:color="auto"/>
            <w:left w:val="none" w:sz="0" w:space="0" w:color="auto"/>
            <w:bottom w:val="none" w:sz="0" w:space="0" w:color="auto"/>
            <w:right w:val="none" w:sz="0" w:space="0" w:color="auto"/>
          </w:divBdr>
        </w:div>
        <w:div w:id="416363056">
          <w:marLeft w:val="0"/>
          <w:marRight w:val="0"/>
          <w:marTop w:val="0"/>
          <w:marBottom w:val="0"/>
          <w:divBdr>
            <w:top w:val="none" w:sz="0" w:space="0" w:color="auto"/>
            <w:left w:val="none" w:sz="0" w:space="0" w:color="auto"/>
            <w:bottom w:val="none" w:sz="0" w:space="0" w:color="auto"/>
            <w:right w:val="none" w:sz="0" w:space="0" w:color="auto"/>
          </w:divBdr>
        </w:div>
        <w:div w:id="422577554">
          <w:marLeft w:val="0"/>
          <w:marRight w:val="0"/>
          <w:marTop w:val="0"/>
          <w:marBottom w:val="0"/>
          <w:divBdr>
            <w:top w:val="none" w:sz="0" w:space="0" w:color="auto"/>
            <w:left w:val="none" w:sz="0" w:space="0" w:color="auto"/>
            <w:bottom w:val="none" w:sz="0" w:space="0" w:color="auto"/>
            <w:right w:val="none" w:sz="0" w:space="0" w:color="auto"/>
          </w:divBdr>
        </w:div>
        <w:div w:id="521433922">
          <w:marLeft w:val="0"/>
          <w:marRight w:val="0"/>
          <w:marTop w:val="0"/>
          <w:marBottom w:val="0"/>
          <w:divBdr>
            <w:top w:val="none" w:sz="0" w:space="0" w:color="auto"/>
            <w:left w:val="none" w:sz="0" w:space="0" w:color="auto"/>
            <w:bottom w:val="none" w:sz="0" w:space="0" w:color="auto"/>
            <w:right w:val="none" w:sz="0" w:space="0" w:color="auto"/>
          </w:divBdr>
        </w:div>
        <w:div w:id="663171479">
          <w:marLeft w:val="0"/>
          <w:marRight w:val="0"/>
          <w:marTop w:val="0"/>
          <w:marBottom w:val="0"/>
          <w:divBdr>
            <w:top w:val="none" w:sz="0" w:space="0" w:color="auto"/>
            <w:left w:val="none" w:sz="0" w:space="0" w:color="auto"/>
            <w:bottom w:val="none" w:sz="0" w:space="0" w:color="auto"/>
            <w:right w:val="none" w:sz="0" w:space="0" w:color="auto"/>
          </w:divBdr>
        </w:div>
        <w:div w:id="867062155">
          <w:marLeft w:val="0"/>
          <w:marRight w:val="0"/>
          <w:marTop w:val="0"/>
          <w:marBottom w:val="0"/>
          <w:divBdr>
            <w:top w:val="none" w:sz="0" w:space="0" w:color="auto"/>
            <w:left w:val="none" w:sz="0" w:space="0" w:color="auto"/>
            <w:bottom w:val="none" w:sz="0" w:space="0" w:color="auto"/>
            <w:right w:val="none" w:sz="0" w:space="0" w:color="auto"/>
          </w:divBdr>
        </w:div>
        <w:div w:id="1121846063">
          <w:marLeft w:val="0"/>
          <w:marRight w:val="0"/>
          <w:marTop w:val="0"/>
          <w:marBottom w:val="0"/>
          <w:divBdr>
            <w:top w:val="none" w:sz="0" w:space="0" w:color="auto"/>
            <w:left w:val="none" w:sz="0" w:space="0" w:color="auto"/>
            <w:bottom w:val="none" w:sz="0" w:space="0" w:color="auto"/>
            <w:right w:val="none" w:sz="0" w:space="0" w:color="auto"/>
          </w:divBdr>
        </w:div>
        <w:div w:id="1135637888">
          <w:marLeft w:val="0"/>
          <w:marRight w:val="0"/>
          <w:marTop w:val="0"/>
          <w:marBottom w:val="0"/>
          <w:divBdr>
            <w:top w:val="none" w:sz="0" w:space="0" w:color="auto"/>
            <w:left w:val="none" w:sz="0" w:space="0" w:color="auto"/>
            <w:bottom w:val="none" w:sz="0" w:space="0" w:color="auto"/>
            <w:right w:val="none" w:sz="0" w:space="0" w:color="auto"/>
          </w:divBdr>
        </w:div>
        <w:div w:id="1459060615">
          <w:marLeft w:val="0"/>
          <w:marRight w:val="0"/>
          <w:marTop w:val="0"/>
          <w:marBottom w:val="0"/>
          <w:divBdr>
            <w:top w:val="none" w:sz="0" w:space="0" w:color="auto"/>
            <w:left w:val="none" w:sz="0" w:space="0" w:color="auto"/>
            <w:bottom w:val="none" w:sz="0" w:space="0" w:color="auto"/>
            <w:right w:val="none" w:sz="0" w:space="0" w:color="auto"/>
          </w:divBdr>
        </w:div>
        <w:div w:id="1507015686">
          <w:marLeft w:val="0"/>
          <w:marRight w:val="0"/>
          <w:marTop w:val="0"/>
          <w:marBottom w:val="0"/>
          <w:divBdr>
            <w:top w:val="none" w:sz="0" w:space="0" w:color="auto"/>
            <w:left w:val="none" w:sz="0" w:space="0" w:color="auto"/>
            <w:bottom w:val="none" w:sz="0" w:space="0" w:color="auto"/>
            <w:right w:val="none" w:sz="0" w:space="0" w:color="auto"/>
          </w:divBdr>
        </w:div>
        <w:div w:id="1820610246">
          <w:marLeft w:val="0"/>
          <w:marRight w:val="0"/>
          <w:marTop w:val="0"/>
          <w:marBottom w:val="0"/>
          <w:divBdr>
            <w:top w:val="none" w:sz="0" w:space="0" w:color="auto"/>
            <w:left w:val="none" w:sz="0" w:space="0" w:color="auto"/>
            <w:bottom w:val="none" w:sz="0" w:space="0" w:color="auto"/>
            <w:right w:val="none" w:sz="0" w:space="0" w:color="auto"/>
          </w:divBdr>
        </w:div>
        <w:div w:id="1944150445">
          <w:marLeft w:val="0"/>
          <w:marRight w:val="0"/>
          <w:marTop w:val="0"/>
          <w:marBottom w:val="0"/>
          <w:divBdr>
            <w:top w:val="none" w:sz="0" w:space="0" w:color="auto"/>
            <w:left w:val="none" w:sz="0" w:space="0" w:color="auto"/>
            <w:bottom w:val="none" w:sz="0" w:space="0" w:color="auto"/>
            <w:right w:val="none" w:sz="0" w:space="0" w:color="auto"/>
          </w:divBdr>
        </w:div>
      </w:divsChild>
    </w:div>
    <w:div w:id="1942956476">
      <w:bodyDiv w:val="1"/>
      <w:marLeft w:val="0"/>
      <w:marRight w:val="0"/>
      <w:marTop w:val="0"/>
      <w:marBottom w:val="0"/>
      <w:divBdr>
        <w:top w:val="none" w:sz="0" w:space="0" w:color="auto"/>
        <w:left w:val="none" w:sz="0" w:space="0" w:color="auto"/>
        <w:bottom w:val="none" w:sz="0" w:space="0" w:color="auto"/>
        <w:right w:val="none" w:sz="0" w:space="0" w:color="auto"/>
      </w:divBdr>
      <w:divsChild>
        <w:div w:id="1339698705">
          <w:marLeft w:val="0"/>
          <w:marRight w:val="0"/>
          <w:marTop w:val="0"/>
          <w:marBottom w:val="0"/>
          <w:divBdr>
            <w:top w:val="none" w:sz="0" w:space="0" w:color="auto"/>
            <w:left w:val="none" w:sz="0" w:space="0" w:color="auto"/>
            <w:bottom w:val="none" w:sz="0" w:space="0" w:color="auto"/>
            <w:right w:val="none" w:sz="0" w:space="0" w:color="auto"/>
          </w:divBdr>
        </w:div>
        <w:div w:id="1477718379">
          <w:marLeft w:val="0"/>
          <w:marRight w:val="0"/>
          <w:marTop w:val="0"/>
          <w:marBottom w:val="0"/>
          <w:divBdr>
            <w:top w:val="none" w:sz="0" w:space="0" w:color="auto"/>
            <w:left w:val="none" w:sz="0" w:space="0" w:color="auto"/>
            <w:bottom w:val="none" w:sz="0" w:space="0" w:color="auto"/>
            <w:right w:val="none" w:sz="0" w:space="0" w:color="auto"/>
          </w:divBdr>
        </w:div>
      </w:divsChild>
    </w:div>
    <w:div w:id="2134251713">
      <w:bodyDiv w:val="1"/>
      <w:marLeft w:val="0"/>
      <w:marRight w:val="0"/>
      <w:marTop w:val="0"/>
      <w:marBottom w:val="0"/>
      <w:divBdr>
        <w:top w:val="none" w:sz="0" w:space="0" w:color="auto"/>
        <w:left w:val="none" w:sz="0" w:space="0" w:color="auto"/>
        <w:bottom w:val="none" w:sz="0" w:space="0" w:color="auto"/>
        <w:right w:val="none" w:sz="0" w:space="0" w:color="auto"/>
      </w:divBdr>
      <w:divsChild>
        <w:div w:id="86578060">
          <w:marLeft w:val="0"/>
          <w:marRight w:val="0"/>
          <w:marTop w:val="0"/>
          <w:marBottom w:val="0"/>
          <w:divBdr>
            <w:top w:val="none" w:sz="0" w:space="0" w:color="auto"/>
            <w:left w:val="none" w:sz="0" w:space="0" w:color="auto"/>
            <w:bottom w:val="none" w:sz="0" w:space="0" w:color="auto"/>
            <w:right w:val="none" w:sz="0" w:space="0" w:color="auto"/>
          </w:divBdr>
        </w:div>
        <w:div w:id="328798535">
          <w:marLeft w:val="0"/>
          <w:marRight w:val="0"/>
          <w:marTop w:val="0"/>
          <w:marBottom w:val="0"/>
          <w:divBdr>
            <w:top w:val="none" w:sz="0" w:space="0" w:color="auto"/>
            <w:left w:val="none" w:sz="0" w:space="0" w:color="auto"/>
            <w:bottom w:val="none" w:sz="0" w:space="0" w:color="auto"/>
            <w:right w:val="none" w:sz="0" w:space="0" w:color="auto"/>
          </w:divBdr>
        </w:div>
        <w:div w:id="818957206">
          <w:marLeft w:val="0"/>
          <w:marRight w:val="0"/>
          <w:marTop w:val="0"/>
          <w:marBottom w:val="0"/>
          <w:divBdr>
            <w:top w:val="none" w:sz="0" w:space="0" w:color="auto"/>
            <w:left w:val="none" w:sz="0" w:space="0" w:color="auto"/>
            <w:bottom w:val="none" w:sz="0" w:space="0" w:color="auto"/>
            <w:right w:val="none" w:sz="0" w:space="0" w:color="auto"/>
          </w:divBdr>
        </w:div>
        <w:div w:id="1068072422">
          <w:marLeft w:val="0"/>
          <w:marRight w:val="0"/>
          <w:marTop w:val="0"/>
          <w:marBottom w:val="0"/>
          <w:divBdr>
            <w:top w:val="none" w:sz="0" w:space="0" w:color="auto"/>
            <w:left w:val="none" w:sz="0" w:space="0" w:color="auto"/>
            <w:bottom w:val="none" w:sz="0" w:space="0" w:color="auto"/>
            <w:right w:val="none" w:sz="0" w:space="0" w:color="auto"/>
          </w:divBdr>
        </w:div>
        <w:div w:id="1209028672">
          <w:marLeft w:val="0"/>
          <w:marRight w:val="0"/>
          <w:marTop w:val="0"/>
          <w:marBottom w:val="0"/>
          <w:divBdr>
            <w:top w:val="none" w:sz="0" w:space="0" w:color="auto"/>
            <w:left w:val="none" w:sz="0" w:space="0" w:color="auto"/>
            <w:bottom w:val="none" w:sz="0" w:space="0" w:color="auto"/>
            <w:right w:val="none" w:sz="0" w:space="0" w:color="auto"/>
          </w:divBdr>
        </w:div>
        <w:div w:id="1300112029">
          <w:marLeft w:val="0"/>
          <w:marRight w:val="0"/>
          <w:marTop w:val="0"/>
          <w:marBottom w:val="0"/>
          <w:divBdr>
            <w:top w:val="none" w:sz="0" w:space="0" w:color="auto"/>
            <w:left w:val="none" w:sz="0" w:space="0" w:color="auto"/>
            <w:bottom w:val="none" w:sz="0" w:space="0" w:color="auto"/>
            <w:right w:val="none" w:sz="0" w:space="0" w:color="auto"/>
          </w:divBdr>
        </w:div>
        <w:div w:id="1326011534">
          <w:marLeft w:val="0"/>
          <w:marRight w:val="0"/>
          <w:marTop w:val="0"/>
          <w:marBottom w:val="0"/>
          <w:divBdr>
            <w:top w:val="none" w:sz="0" w:space="0" w:color="auto"/>
            <w:left w:val="none" w:sz="0" w:space="0" w:color="auto"/>
            <w:bottom w:val="none" w:sz="0" w:space="0" w:color="auto"/>
            <w:right w:val="none" w:sz="0" w:space="0" w:color="auto"/>
          </w:divBdr>
        </w:div>
        <w:div w:id="1367026251">
          <w:marLeft w:val="0"/>
          <w:marRight w:val="0"/>
          <w:marTop w:val="0"/>
          <w:marBottom w:val="0"/>
          <w:divBdr>
            <w:top w:val="none" w:sz="0" w:space="0" w:color="auto"/>
            <w:left w:val="none" w:sz="0" w:space="0" w:color="auto"/>
            <w:bottom w:val="none" w:sz="0" w:space="0" w:color="auto"/>
            <w:right w:val="none" w:sz="0" w:space="0" w:color="auto"/>
          </w:divBdr>
        </w:div>
        <w:div w:id="1604071483">
          <w:marLeft w:val="0"/>
          <w:marRight w:val="0"/>
          <w:marTop w:val="0"/>
          <w:marBottom w:val="0"/>
          <w:divBdr>
            <w:top w:val="none" w:sz="0" w:space="0" w:color="auto"/>
            <w:left w:val="none" w:sz="0" w:space="0" w:color="auto"/>
            <w:bottom w:val="none" w:sz="0" w:space="0" w:color="auto"/>
            <w:right w:val="none" w:sz="0" w:space="0" w:color="auto"/>
          </w:divBdr>
        </w:div>
        <w:div w:id="1902985332">
          <w:marLeft w:val="0"/>
          <w:marRight w:val="0"/>
          <w:marTop w:val="0"/>
          <w:marBottom w:val="0"/>
          <w:divBdr>
            <w:top w:val="none" w:sz="0" w:space="0" w:color="auto"/>
            <w:left w:val="none" w:sz="0" w:space="0" w:color="auto"/>
            <w:bottom w:val="none" w:sz="0" w:space="0" w:color="auto"/>
            <w:right w:val="none" w:sz="0" w:space="0" w:color="auto"/>
          </w:divBdr>
        </w:div>
        <w:div w:id="1910991516">
          <w:marLeft w:val="0"/>
          <w:marRight w:val="0"/>
          <w:marTop w:val="0"/>
          <w:marBottom w:val="0"/>
          <w:divBdr>
            <w:top w:val="none" w:sz="0" w:space="0" w:color="auto"/>
            <w:left w:val="none" w:sz="0" w:space="0" w:color="auto"/>
            <w:bottom w:val="none" w:sz="0" w:space="0" w:color="auto"/>
            <w:right w:val="none" w:sz="0" w:space="0" w:color="auto"/>
          </w:divBdr>
        </w:div>
        <w:div w:id="214388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A93E8-B86D-493E-B841-323FC250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941</Words>
  <Characters>5648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KRYTERIA MERYTORYCZNE WYBORU PROJEKTÓW </dc:subject>
  <dc:creator>p.surmacz</dc:creator>
  <cp:keywords/>
  <dc:description/>
  <cp:lastModifiedBy>Pisarik Marta</cp:lastModifiedBy>
  <cp:revision>12</cp:revision>
  <cp:lastPrinted>2022-08-24T10:21:00Z</cp:lastPrinted>
  <dcterms:created xsi:type="dcterms:W3CDTF">2020-03-18T12:03:00Z</dcterms:created>
  <dcterms:modified xsi:type="dcterms:W3CDTF">2022-08-24T10:59:00Z</dcterms:modified>
</cp:coreProperties>
</file>