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0D34E3" w:rsidRPr="006E7424">
        <w:rPr>
          <w:rFonts w:cs="Arial"/>
          <w:noProof/>
        </w:rPr>
        <w:drawing>
          <wp:inline distT="0" distB="0" distL="0" distR="0">
            <wp:extent cx="8888730" cy="645160"/>
            <wp:effectExtent l="0" t="0" r="7620" b="2540"/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CD65E4" w:rsidRDefault="00CD65E4" w:rsidP="00CD65E4">
      <w:pPr>
        <w:jc w:val="center"/>
        <w:rPr>
          <w:rFonts w:ascii="Arial" w:hAnsi="Arial" w:cs="Arial"/>
          <w:b/>
          <w:sz w:val="40"/>
          <w:szCs w:val="40"/>
        </w:rPr>
      </w:pPr>
    </w:p>
    <w:p w:rsidR="00CD65E4" w:rsidRPr="00311B3B" w:rsidRDefault="00CD65E4" w:rsidP="00CD65E4">
      <w:pPr>
        <w:jc w:val="center"/>
        <w:rPr>
          <w:rFonts w:ascii="Arial" w:hAnsi="Arial" w:cs="Arial"/>
          <w:b/>
          <w:sz w:val="40"/>
        </w:rPr>
      </w:pPr>
      <w:r w:rsidRPr="0082293F">
        <w:rPr>
          <w:rFonts w:ascii="Arial" w:hAnsi="Arial" w:cs="Arial"/>
          <w:b/>
          <w:sz w:val="40"/>
          <w:szCs w:val="40"/>
        </w:rPr>
        <w:t xml:space="preserve">DLA </w:t>
      </w:r>
      <w:r w:rsidRPr="00311B3B">
        <w:rPr>
          <w:rFonts w:ascii="Arial" w:hAnsi="Arial" w:cs="Arial"/>
          <w:b/>
          <w:sz w:val="40"/>
        </w:rPr>
        <w:t>DZIAŁANIA 6.4 INFRASTRUKTURA EDUKACYJNA</w:t>
      </w:r>
    </w:p>
    <w:p w:rsidR="00CD65E4" w:rsidRDefault="00CD65E4" w:rsidP="00CD65E4">
      <w:pPr>
        <w:jc w:val="center"/>
        <w:rPr>
          <w:rFonts w:ascii="Arial" w:hAnsi="Arial" w:cs="Arial"/>
          <w:b/>
          <w:sz w:val="40"/>
        </w:rPr>
      </w:pPr>
      <w:r w:rsidRPr="00311B3B">
        <w:rPr>
          <w:rFonts w:ascii="Arial" w:hAnsi="Arial" w:cs="Arial"/>
          <w:b/>
          <w:sz w:val="40"/>
        </w:rPr>
        <w:t>poddziałania 6.4.2 Kształcenie zawodowe i ustawiczne oraz PWSZ</w:t>
      </w:r>
      <w:r>
        <w:rPr>
          <w:rFonts w:ascii="Arial" w:hAnsi="Arial" w:cs="Arial"/>
          <w:b/>
          <w:sz w:val="40"/>
        </w:rPr>
        <w:t xml:space="preserve"> -</w:t>
      </w:r>
    </w:p>
    <w:p w:rsidR="00CD65E4" w:rsidRPr="00311B3B" w:rsidRDefault="00CD65E4" w:rsidP="00CD65E4">
      <w:pPr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40"/>
        </w:rPr>
        <w:t>projekty z zakresu Państwowych Wyższych Szkół Zawodowych</w:t>
      </w: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CD65E4" w:rsidRPr="00982366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82293F">
        <w:rPr>
          <w:rFonts w:ascii="Arial" w:hAnsi="Arial" w:cs="Arial"/>
          <w:i/>
          <w:sz w:val="40"/>
          <w:szCs w:val="40"/>
        </w:rPr>
        <w:t>(</w:t>
      </w:r>
      <w:r w:rsidRPr="00982366">
        <w:rPr>
          <w:rFonts w:ascii="Arial" w:hAnsi="Arial" w:cs="Arial"/>
          <w:i/>
          <w:sz w:val="40"/>
          <w:szCs w:val="40"/>
        </w:rPr>
        <w:t xml:space="preserve">przyjęte przez Komitet Monitorujący RPO WP 2014-2020 </w:t>
      </w:r>
    </w:p>
    <w:p w:rsidR="00CD65E4" w:rsidRPr="0082293F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982366">
        <w:rPr>
          <w:rFonts w:ascii="Arial" w:hAnsi="Arial" w:cs="Arial"/>
          <w:i/>
          <w:sz w:val="40"/>
          <w:szCs w:val="40"/>
        </w:rPr>
        <w:t>25 września 2015 r. z późn. zm.)</w:t>
      </w:r>
    </w:p>
    <w:p w:rsidR="00CD65E4" w:rsidRPr="0082293F" w:rsidRDefault="00CD65E4" w:rsidP="00CD65E4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8B1A3B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STANDARDOWE </w:t>
      </w:r>
      <w:bookmarkEnd w:id="3"/>
      <w:bookmarkEnd w:id="4"/>
      <w:r w:rsidR="008B1A3B">
        <w:rPr>
          <w:lang w:val="pl-PL"/>
        </w:rPr>
        <w:t>– PROJEKTY POZAKONKURSOWE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8B1A3B" w:rsidRPr="00EF1431" w:rsidTr="003A37D0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4E2641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8B1A3B" w:rsidRPr="002E0A8F" w:rsidRDefault="008B1A3B" w:rsidP="008B1A3B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8B1A3B" w:rsidRPr="002E0A8F" w:rsidRDefault="008B1A3B" w:rsidP="008B1A3B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8B1A3B" w:rsidRPr="00F10330" w:rsidRDefault="008B1A3B" w:rsidP="008B1A3B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  <w:p w:rsidR="008B1A3B" w:rsidRDefault="008B1A3B" w:rsidP="008B1A3B">
            <w:pPr>
              <w:pStyle w:val="Akapitzli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B1A3B" w:rsidRPr="002E0A8F" w:rsidRDefault="008B1A3B" w:rsidP="008B1A3B">
            <w:pPr>
              <w:pStyle w:val="Akapitzlist"/>
              <w:ind w:lef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EF1431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4E2641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8B1A3B" w:rsidRPr="002E0A8F" w:rsidRDefault="008B1A3B" w:rsidP="008B1A3B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8B1A3B" w:rsidRDefault="008B1A3B" w:rsidP="008B1A3B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  <w:p w:rsidR="008B1A3B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8B1A3B" w:rsidRPr="002E0A8F" w:rsidRDefault="008B1A3B" w:rsidP="008B1A3B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8B1A3B" w:rsidRDefault="008B1A3B" w:rsidP="008B1A3B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  <w:p w:rsidR="008B1A3B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 xml:space="preserve">Istnieje możliwość poprawy/ uzupełnienia projektu w zakresie niniejszego </w:t>
            </w:r>
            <w:r w:rsidRPr="00F10330">
              <w:rPr>
                <w:rFonts w:ascii="Arial" w:hAnsi="Arial" w:cs="Arial"/>
                <w:sz w:val="22"/>
                <w:szCs w:val="22"/>
              </w:rPr>
              <w:lastRenderedPageBreak/>
              <w:t>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8B1A3B" w:rsidRPr="002E0A8F" w:rsidRDefault="008B1A3B" w:rsidP="008B1A3B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8B1A3B" w:rsidRPr="002E0A8F" w:rsidRDefault="008B1A3B" w:rsidP="008B1A3B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8B1A3B" w:rsidRPr="002E0A8F" w:rsidRDefault="008B1A3B" w:rsidP="008B1A3B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8B1A3B" w:rsidRPr="002E0A8F" w:rsidRDefault="008B1A3B" w:rsidP="008B1A3B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8B1A3B" w:rsidRPr="002E0A8F" w:rsidRDefault="008B1A3B" w:rsidP="008B1A3B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8B1A3B" w:rsidRPr="002E0A8F" w:rsidRDefault="008B1A3B" w:rsidP="008B1A3B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8B1A3B" w:rsidRDefault="008B1A3B" w:rsidP="008B1A3B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  <w:p w:rsidR="008B1A3B" w:rsidRDefault="008B1A3B" w:rsidP="008B1A3B">
            <w:p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A3B" w:rsidRPr="00084619" w:rsidRDefault="008B1A3B" w:rsidP="008B1A3B">
            <w:p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014F8E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1335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8B1A3B" w:rsidRPr="0021335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8B1A3B" w:rsidRPr="0021335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8B1A3B" w:rsidRPr="0021335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8B1A3B" w:rsidRDefault="008B1A3B" w:rsidP="008B1A3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lastRenderedPageBreak/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  <w:p w:rsidR="008B1A3B" w:rsidRDefault="008B1A3B" w:rsidP="008B1A3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8B1A3B" w:rsidRPr="00527738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8566F8" w:rsidRDefault="008B1A3B" w:rsidP="008B1A3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8566F8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8B1A3B" w:rsidRPr="00084619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świadomości ekologicznej społeczeństwa.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1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lastRenderedPageBreak/>
              <w:t>KRYTERIA FINANSOWE OCENIANE TYLKO PRZEZ EKSPERTA DS. ANALIZY FINANSOWEJ I EKONOMICZNEJ</w:t>
            </w:r>
          </w:p>
        </w:tc>
      </w:tr>
      <w:tr w:rsidR="008B1A3B" w:rsidRPr="00FE05AF" w:rsidTr="003A37D0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dochodów generowanych przez projekt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czasie eksploatacji inwestycji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wartość kosztów kwalifikowanych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WP 2014-2020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przewidywalna polityka cenowa/ taryfowa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przychody projektu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koszty operacyjne projektu ?</w:t>
            </w:r>
          </w:p>
          <w:p w:rsidR="008B1A3B" w:rsidRPr="002E0A8F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oszczędności kosztów operacyjnych projektu ?</w:t>
            </w:r>
          </w:p>
          <w:p w:rsidR="008B1A3B" w:rsidRDefault="008B1A3B" w:rsidP="008B1A3B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 RPO WP 2014-2020 ?</w:t>
            </w:r>
          </w:p>
          <w:p w:rsidR="008B1A3B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B1A3B" w:rsidRPr="00F10330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8B1A3B" w:rsidRPr="00F10330" w:rsidRDefault="008B1A3B" w:rsidP="008B1A3B">
            <w:pPr>
              <w:pStyle w:val="Akapitzlist"/>
              <w:numPr>
                <w:ilvl w:val="0"/>
                <w:numId w:val="8"/>
              </w:numPr>
              <w:tabs>
                <w:tab w:val="left" w:pos="36"/>
              </w:tabs>
              <w:ind w:left="320" w:hanging="6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a) </w:t>
            </w: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  <w:p w:rsidR="008B1A3B" w:rsidRDefault="008B1A3B" w:rsidP="008B1A3B">
            <w:pPr>
              <w:pStyle w:val="Akapitzlist"/>
              <w:tabs>
                <w:tab w:val="left" w:pos="36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B1A3B" w:rsidRPr="002E0A8F" w:rsidRDefault="008B1A3B" w:rsidP="008B1A3B">
            <w:pPr>
              <w:pStyle w:val="Akapitzlist"/>
              <w:tabs>
                <w:tab w:val="left" w:pos="3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8B1A3B" w:rsidRPr="002E0A8F" w:rsidRDefault="008B1A3B" w:rsidP="008B1A3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2027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B1A3B" w:rsidRPr="002E0A8F" w:rsidRDefault="008B1A3B" w:rsidP="008B1A3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8B1A3B" w:rsidRDefault="008B1A3B" w:rsidP="008B1A3B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B/C &gt; </w:t>
            </w:r>
            <w:r w:rsidRPr="002E0A8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2E0A8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1A3B" w:rsidRDefault="008B1A3B" w:rsidP="008B1A3B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B1A3B" w:rsidRPr="00F10330" w:rsidRDefault="008B1A3B" w:rsidP="008B1A3B">
            <w:pPr>
              <w:pStyle w:val="Akapitzlist"/>
              <w:ind w:left="3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8B1A3B" w:rsidRPr="00FE05AF" w:rsidTr="003A37D0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8B1A3B" w:rsidRPr="002E0A8F" w:rsidRDefault="008B1A3B" w:rsidP="008B1A3B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8B1A3B" w:rsidRPr="002E0A8F" w:rsidRDefault="008B1A3B" w:rsidP="008B1A3B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spełniają obowiązujące wymogi (normy, zasady sztuki budowlanej)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8B1A3B" w:rsidRPr="002E0A8F" w:rsidRDefault="008B1A3B" w:rsidP="008B1A3B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8B1A3B" w:rsidRDefault="008B1A3B" w:rsidP="008B1A3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  <w:p w:rsidR="008B1A3B" w:rsidRDefault="008B1A3B" w:rsidP="008B1A3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B1A3B" w:rsidRPr="00F10330" w:rsidRDefault="008B1A3B" w:rsidP="008B1A3B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8B1A3B" w:rsidRPr="002E0A8F" w:rsidRDefault="008B1A3B" w:rsidP="008B1A3B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8B1A3B" w:rsidRPr="002E0A8F" w:rsidRDefault="008B1A3B" w:rsidP="008B1A3B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 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zrealizować inwestycję ?</w:t>
            </w:r>
          </w:p>
          <w:p w:rsidR="008B1A3B" w:rsidRPr="002E0A8F" w:rsidRDefault="008B1A3B" w:rsidP="008B1A3B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  <w:p w:rsidR="008B1A3B" w:rsidRPr="00F10330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A3B" w:rsidRPr="00FE05AF" w:rsidTr="003A37D0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1A3B" w:rsidRPr="00FE05AF" w:rsidRDefault="008B1A3B" w:rsidP="008B1A3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B1A3B" w:rsidRPr="002E0A8F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B1A3B" w:rsidRPr="002E0A8F" w:rsidRDefault="008B1A3B" w:rsidP="008B1A3B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8B1A3B" w:rsidRPr="002E0A8F" w:rsidRDefault="008B1A3B" w:rsidP="008B1A3B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minimalizują wpływ inwestycji na klimat ?</w:t>
            </w:r>
          </w:p>
          <w:p w:rsidR="008B1A3B" w:rsidRPr="002E0A8F" w:rsidRDefault="008B1A3B" w:rsidP="008B1A3B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8B1A3B" w:rsidRPr="002E0A8F" w:rsidRDefault="008B1A3B" w:rsidP="008B1A3B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1A3B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  <w:p w:rsidR="008B1A3B" w:rsidRPr="00F10330" w:rsidRDefault="008B1A3B" w:rsidP="008B1A3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B1A3B" w:rsidRPr="00FE05AF" w:rsidRDefault="008B1A3B" w:rsidP="008B1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5E4" w:rsidRDefault="00CD65E4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5" w:name="_Toc427917173"/>
      <w:bookmarkStart w:id="6" w:name="_Toc429548477"/>
      <w:bookmarkEnd w:id="0"/>
    </w:p>
    <w:p w:rsidR="00CD65E4" w:rsidRDefault="00CD65E4" w:rsidP="00CD65E4"/>
    <w:p w:rsidR="00CD65E4" w:rsidRDefault="00CD65E4" w:rsidP="00CD65E4"/>
    <w:p w:rsidR="00CD65E4" w:rsidRDefault="00CD65E4" w:rsidP="00CD65E4"/>
    <w:p w:rsidR="00CD65E4" w:rsidRDefault="00CD65E4" w:rsidP="00CD65E4"/>
    <w:p w:rsidR="00DC2ECD" w:rsidRPr="00FE05AF" w:rsidRDefault="00DC2ECD" w:rsidP="00CD65E4">
      <w:pPr>
        <w:pStyle w:val="Nagwek3"/>
        <w:tabs>
          <w:tab w:val="left" w:pos="851"/>
        </w:tabs>
        <w:ind w:left="142"/>
        <w:rPr>
          <w:lang w:val="pl-PL"/>
        </w:rPr>
      </w:pPr>
      <w:r w:rsidRPr="00FE05AF">
        <w:rPr>
          <w:lang w:val="pl-PL"/>
        </w:rPr>
        <w:t xml:space="preserve">I.2.  </w:t>
      </w:r>
      <w:r w:rsidRPr="00FE05AF">
        <w:t>KRYTERIA MERYTORYCZNE DOPUSZCZAJĄCE SPECYFICZNE</w:t>
      </w:r>
      <w:bookmarkEnd w:id="5"/>
      <w:bookmarkEnd w:id="6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48D7" w:rsidRPr="003348D7" w:rsidRDefault="003348D7" w:rsidP="003348D7">
            <w:pPr>
              <w:jc w:val="center"/>
              <w:rPr>
                <w:rFonts w:ascii="Arial" w:hAnsi="Arial" w:cs="Arial"/>
                <w:b/>
              </w:rPr>
            </w:pPr>
            <w:r w:rsidRPr="003348D7">
              <w:rPr>
                <w:rFonts w:ascii="Arial" w:hAnsi="Arial" w:cs="Arial"/>
                <w:b/>
              </w:rPr>
              <w:t>DZIAŁANIE 6.4 INFRASTRUKTURA EDUKACYJNA</w:t>
            </w:r>
          </w:p>
          <w:p w:rsidR="007A4B46" w:rsidRDefault="003348D7" w:rsidP="003348D7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PODDZIAŁANIE</w:t>
            </w:r>
            <w:r w:rsidRPr="003348D7">
              <w:rPr>
                <w:rFonts w:ascii="Arial" w:hAnsi="Arial" w:cs="Arial"/>
                <w:b/>
              </w:rPr>
              <w:t xml:space="preserve"> 6.4.2 KSZTAŁCENIE ZAWODOWE I USTAWICZNE ORAZ PWSZ</w:t>
            </w:r>
            <w:r w:rsidRPr="003348D7">
              <w:rPr>
                <w:rFonts w:ascii="Arial" w:eastAsia="Calibri" w:hAnsi="Arial"/>
                <w:b/>
                <w:bCs/>
                <w:sz w:val="14"/>
                <w:szCs w:val="22"/>
                <w:lang w:eastAsia="en-US"/>
              </w:rPr>
              <w:t xml:space="preserve"> 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 w:rsidR="0021534B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DC2ECD" w:rsidRPr="00FE05AF" w:rsidRDefault="00CD65E4" w:rsidP="00CD65E4">
            <w:pPr>
              <w:ind w:left="-526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</w:t>
            </w:r>
            <w:r w:rsidR="00DC2ECD"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CD65E4">
        <w:trPr>
          <w:trHeight w:val="1412"/>
          <w:jc w:val="center"/>
        </w:trPr>
        <w:tc>
          <w:tcPr>
            <w:tcW w:w="709" w:type="dxa"/>
            <w:shd w:val="clear" w:color="auto" w:fill="FFFFFF"/>
          </w:tcPr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084619" w:rsidRPr="00CD65E4" w:rsidRDefault="00CD65E4" w:rsidP="00CD65E4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4632" w:type="dxa"/>
            <w:shd w:val="clear" w:color="auto" w:fill="FFFFFF"/>
          </w:tcPr>
          <w:p w:rsidR="00CD65E4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hAnsi="Arial" w:cs="Arial"/>
                <w:sz w:val="22"/>
              </w:rPr>
            </w:pPr>
          </w:p>
          <w:p w:rsidR="00084619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Budowa nowych obiektów</w:t>
            </w:r>
          </w:p>
        </w:tc>
        <w:tc>
          <w:tcPr>
            <w:tcW w:w="7938" w:type="dxa"/>
            <w:shd w:val="clear" w:color="auto" w:fill="FFFFFF"/>
          </w:tcPr>
          <w:p w:rsidR="00B349FB" w:rsidRPr="00B349FB" w:rsidRDefault="00B349FB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Czy w projekcie dotyczącym budowy nowej infrastruktury zostały uwzględnione następujące warunki: </w:t>
            </w: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• przedstawienie analizy potrzeb, </w:t>
            </w:r>
          </w:p>
          <w:p w:rsidR="00084619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• udokumentowanie braku możliwości wykorzystania/adaptacji obecnie istniejącej infrastruktury?</w:t>
            </w:r>
          </w:p>
        </w:tc>
        <w:tc>
          <w:tcPr>
            <w:tcW w:w="1538" w:type="dxa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084619">
        <w:trPr>
          <w:trHeight w:val="340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projekt przyczynia się do realizacji celów wynikających z RIS i/lub celów zawartych w Strategii Rozwoju Województwa – Podkarpackie 2020?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976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 treści studium wykonalności przedstawiono projekty komplementarne z EFS wykazane na etapie identyfikacji projektów?. </w:t>
            </w: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CD65E4">
      <w:footerReference w:type="default" r:id="rId9"/>
      <w:pgSz w:w="16838" w:h="11906" w:orient="landscape"/>
      <w:pgMar w:top="1134" w:right="907" w:bottom="184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D0" w:rsidRDefault="003A37D0" w:rsidP="00DC2ECD">
      <w:r>
        <w:separator/>
      </w:r>
    </w:p>
  </w:endnote>
  <w:endnote w:type="continuationSeparator" w:id="0">
    <w:p w:rsidR="003A37D0" w:rsidRDefault="003A37D0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4E3">
      <w:rPr>
        <w:noProof/>
      </w:rPr>
      <w:t>8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D0" w:rsidRDefault="003A37D0" w:rsidP="00DC2ECD">
      <w:r>
        <w:separator/>
      </w:r>
    </w:p>
  </w:footnote>
  <w:footnote w:type="continuationSeparator" w:id="0">
    <w:p w:rsidR="003A37D0" w:rsidRDefault="003A37D0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89B3A9"/>
    <w:multiLevelType w:val="hybridMultilevel"/>
    <w:tmpl w:val="2CC1FE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89076"/>
    <w:multiLevelType w:val="hybridMultilevel"/>
    <w:tmpl w:val="5D7637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EE19B"/>
    <w:multiLevelType w:val="hybridMultilevel"/>
    <w:tmpl w:val="B77E9D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A1E20F"/>
    <w:multiLevelType w:val="hybridMultilevel"/>
    <w:tmpl w:val="C57900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93D941"/>
    <w:multiLevelType w:val="hybridMultilevel"/>
    <w:tmpl w:val="6EB2F5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731284"/>
    <w:multiLevelType w:val="hybridMultilevel"/>
    <w:tmpl w:val="3BF541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543EC"/>
    <w:multiLevelType w:val="hybridMultilevel"/>
    <w:tmpl w:val="65A2C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C68A4"/>
    <w:multiLevelType w:val="hybridMultilevel"/>
    <w:tmpl w:val="62052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490B9"/>
    <w:multiLevelType w:val="hybridMultilevel"/>
    <w:tmpl w:val="8A84F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F3D6A65"/>
    <w:multiLevelType w:val="hybridMultilevel"/>
    <w:tmpl w:val="511F22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B5485B7"/>
    <w:multiLevelType w:val="hybridMultilevel"/>
    <w:tmpl w:val="561E5F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D19BF"/>
    <w:multiLevelType w:val="hybridMultilevel"/>
    <w:tmpl w:val="053ABE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5C911"/>
    <w:multiLevelType w:val="hybridMultilevel"/>
    <w:tmpl w:val="79B59E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8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9" w15:restartNumberingAfterBreak="0">
    <w:nsid w:val="7CD0526A"/>
    <w:multiLevelType w:val="hybridMultilevel"/>
    <w:tmpl w:val="98B3B5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44"/>
  </w:num>
  <w:num w:numId="5">
    <w:abstractNumId w:val="11"/>
  </w:num>
  <w:num w:numId="6">
    <w:abstractNumId w:val="35"/>
  </w:num>
  <w:num w:numId="7">
    <w:abstractNumId w:val="15"/>
  </w:num>
  <w:num w:numId="8">
    <w:abstractNumId w:val="40"/>
  </w:num>
  <w:num w:numId="9">
    <w:abstractNumId w:val="19"/>
  </w:num>
  <w:num w:numId="10">
    <w:abstractNumId w:val="39"/>
  </w:num>
  <w:num w:numId="11">
    <w:abstractNumId w:val="22"/>
  </w:num>
  <w:num w:numId="12">
    <w:abstractNumId w:val="23"/>
  </w:num>
  <w:num w:numId="13">
    <w:abstractNumId w:val="13"/>
  </w:num>
  <w:num w:numId="14">
    <w:abstractNumId w:val="48"/>
  </w:num>
  <w:num w:numId="15">
    <w:abstractNumId w:val="33"/>
  </w:num>
  <w:num w:numId="16">
    <w:abstractNumId w:val="10"/>
  </w:num>
  <w:num w:numId="17">
    <w:abstractNumId w:val="26"/>
  </w:num>
  <w:num w:numId="18">
    <w:abstractNumId w:val="38"/>
  </w:num>
  <w:num w:numId="19">
    <w:abstractNumId w:val="37"/>
  </w:num>
  <w:num w:numId="20">
    <w:abstractNumId w:val="7"/>
  </w:num>
  <w:num w:numId="21">
    <w:abstractNumId w:val="28"/>
  </w:num>
  <w:num w:numId="22">
    <w:abstractNumId w:val="9"/>
  </w:num>
  <w:num w:numId="23">
    <w:abstractNumId w:val="41"/>
  </w:num>
  <w:num w:numId="24">
    <w:abstractNumId w:val="36"/>
  </w:num>
  <w:num w:numId="25">
    <w:abstractNumId w:val="32"/>
  </w:num>
  <w:num w:numId="26">
    <w:abstractNumId w:val="29"/>
  </w:num>
  <w:num w:numId="27">
    <w:abstractNumId w:val="16"/>
  </w:num>
  <w:num w:numId="28">
    <w:abstractNumId w:val="43"/>
  </w:num>
  <w:num w:numId="29">
    <w:abstractNumId w:val="30"/>
  </w:num>
  <w:num w:numId="30">
    <w:abstractNumId w:val="17"/>
  </w:num>
  <w:num w:numId="31">
    <w:abstractNumId w:val="8"/>
  </w:num>
  <w:num w:numId="32">
    <w:abstractNumId w:val="27"/>
  </w:num>
  <w:num w:numId="33">
    <w:abstractNumId w:val="47"/>
  </w:num>
  <w:num w:numId="34">
    <w:abstractNumId w:val="14"/>
  </w:num>
  <w:num w:numId="35">
    <w:abstractNumId w:val="18"/>
  </w:num>
  <w:num w:numId="36">
    <w:abstractNumId w:val="46"/>
  </w:num>
  <w:num w:numId="37">
    <w:abstractNumId w:val="42"/>
  </w:num>
  <w:num w:numId="38">
    <w:abstractNumId w:val="31"/>
  </w:num>
  <w:num w:numId="39">
    <w:abstractNumId w:val="2"/>
  </w:num>
  <w:num w:numId="40">
    <w:abstractNumId w:val="45"/>
  </w:num>
  <w:num w:numId="41">
    <w:abstractNumId w:val="21"/>
  </w:num>
  <w:num w:numId="42">
    <w:abstractNumId w:val="1"/>
  </w:num>
  <w:num w:numId="43">
    <w:abstractNumId w:val="49"/>
  </w:num>
  <w:num w:numId="44">
    <w:abstractNumId w:val="5"/>
  </w:num>
  <w:num w:numId="45">
    <w:abstractNumId w:val="25"/>
  </w:num>
  <w:num w:numId="46">
    <w:abstractNumId w:val="4"/>
  </w:num>
  <w:num w:numId="47">
    <w:abstractNumId w:val="3"/>
  </w:num>
  <w:num w:numId="48">
    <w:abstractNumId w:val="6"/>
  </w:num>
  <w:num w:numId="49">
    <w:abstractNumId w:val="24"/>
  </w:num>
  <w:num w:numId="5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718C"/>
    <w:rsid w:val="00084619"/>
    <w:rsid w:val="000910FC"/>
    <w:rsid w:val="00095764"/>
    <w:rsid w:val="000D34E3"/>
    <w:rsid w:val="000D7A7C"/>
    <w:rsid w:val="000F3F55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87A77"/>
    <w:rsid w:val="002A00E5"/>
    <w:rsid w:val="002D0960"/>
    <w:rsid w:val="002D589F"/>
    <w:rsid w:val="003348D7"/>
    <w:rsid w:val="0036429E"/>
    <w:rsid w:val="00365567"/>
    <w:rsid w:val="0037615C"/>
    <w:rsid w:val="003A37D0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35A0C"/>
    <w:rsid w:val="00555C26"/>
    <w:rsid w:val="00565013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F336D"/>
    <w:rsid w:val="006F3635"/>
    <w:rsid w:val="006F7E6F"/>
    <w:rsid w:val="00701F55"/>
    <w:rsid w:val="00716B3F"/>
    <w:rsid w:val="00735AAB"/>
    <w:rsid w:val="00761520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B1A3B"/>
    <w:rsid w:val="008C592E"/>
    <w:rsid w:val="008F5C29"/>
    <w:rsid w:val="008F777B"/>
    <w:rsid w:val="009234D8"/>
    <w:rsid w:val="009373E3"/>
    <w:rsid w:val="00937AA9"/>
    <w:rsid w:val="00963048"/>
    <w:rsid w:val="0096554F"/>
    <w:rsid w:val="00982366"/>
    <w:rsid w:val="009A27F2"/>
    <w:rsid w:val="009D71D4"/>
    <w:rsid w:val="009D7232"/>
    <w:rsid w:val="00A3394E"/>
    <w:rsid w:val="00A6055F"/>
    <w:rsid w:val="00A60939"/>
    <w:rsid w:val="00A659AC"/>
    <w:rsid w:val="00A943FA"/>
    <w:rsid w:val="00B1073B"/>
    <w:rsid w:val="00B24F11"/>
    <w:rsid w:val="00B349FB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D65E4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2683"/>
    <w:rsid w:val="00F06B89"/>
    <w:rsid w:val="00F26A50"/>
    <w:rsid w:val="00F52633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B66C1-3868-4FB0-B599-6264F91D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BF10-07EF-4BD5-B448-5659B7F3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2016-11-24T08:07:00Z</cp:lastPrinted>
  <dcterms:created xsi:type="dcterms:W3CDTF">2018-03-30T07:58:00Z</dcterms:created>
  <dcterms:modified xsi:type="dcterms:W3CDTF">2018-03-30T07:58:00Z</dcterms:modified>
</cp:coreProperties>
</file>