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0" w:rsidRPr="003F3B37" w:rsidRDefault="003F3B37">
      <w:pPr>
        <w:pStyle w:val="Standard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F3B37">
        <w:rPr>
          <w:rFonts w:ascii="Arial" w:hAnsi="Arial" w:cs="Arial"/>
          <w:sz w:val="20"/>
          <w:szCs w:val="20"/>
        </w:rPr>
        <w:t xml:space="preserve">Załącznik nr 6 do </w:t>
      </w:r>
      <w:r>
        <w:rPr>
          <w:rFonts w:ascii="Arial" w:hAnsi="Arial" w:cs="Arial"/>
          <w:sz w:val="20"/>
          <w:szCs w:val="20"/>
        </w:rPr>
        <w:t xml:space="preserve">regulaminu </w:t>
      </w:r>
      <w:r w:rsidR="00AC1EE7">
        <w:rPr>
          <w:rFonts w:ascii="Arial" w:hAnsi="Arial" w:cs="Arial"/>
          <w:sz w:val="20"/>
          <w:szCs w:val="20"/>
        </w:rPr>
        <w:t>naboru</w:t>
      </w:r>
    </w:p>
    <w:p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14086" w:rsidRDefault="002D0BAA" w:rsidP="00AE7121">
      <w:pPr>
        <w:pStyle w:val="Standard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D7154">
        <w:rPr>
          <w:rFonts w:ascii="Arial" w:hAnsi="Arial" w:cs="Arial"/>
          <w:b/>
          <w:bCs/>
          <w:sz w:val="32"/>
          <w:szCs w:val="32"/>
        </w:rPr>
        <w:t xml:space="preserve">Lista wskaźników na poziomie projektu dla </w:t>
      </w:r>
      <w:r w:rsidR="00B14086">
        <w:rPr>
          <w:rFonts w:ascii="Arial" w:hAnsi="Arial" w:cs="Arial"/>
          <w:b/>
          <w:bCs/>
          <w:sz w:val="32"/>
          <w:szCs w:val="32"/>
        </w:rPr>
        <w:t>pod</w:t>
      </w:r>
      <w:r w:rsidR="00232E32">
        <w:rPr>
          <w:rFonts w:ascii="Arial" w:hAnsi="Arial" w:cs="Arial"/>
          <w:b/>
          <w:bCs/>
          <w:sz w:val="32"/>
          <w:szCs w:val="32"/>
        </w:rPr>
        <w:t>działania 6.2.1</w:t>
      </w:r>
      <w:r w:rsidRPr="002D7154">
        <w:rPr>
          <w:rFonts w:ascii="Arial" w:hAnsi="Arial" w:cs="Arial"/>
          <w:b/>
          <w:bCs/>
          <w:sz w:val="32"/>
          <w:szCs w:val="32"/>
        </w:rPr>
        <w:t xml:space="preserve">. Infrastruktura </w:t>
      </w:r>
      <w:r w:rsidR="00C92760">
        <w:rPr>
          <w:rFonts w:ascii="Arial" w:hAnsi="Arial" w:cs="Arial"/>
          <w:b/>
          <w:bCs/>
          <w:sz w:val="32"/>
          <w:szCs w:val="32"/>
        </w:rPr>
        <w:t>ochrony</w:t>
      </w:r>
      <w:r w:rsidR="00232E32">
        <w:rPr>
          <w:rFonts w:ascii="Arial" w:hAnsi="Arial" w:cs="Arial"/>
          <w:b/>
          <w:bCs/>
          <w:sz w:val="32"/>
          <w:szCs w:val="32"/>
        </w:rPr>
        <w:t xml:space="preserve"> zdrowia</w:t>
      </w:r>
      <w:r w:rsidRPr="002D71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7154">
        <w:rPr>
          <w:rFonts w:ascii="Arial" w:hAnsi="Arial" w:cs="Arial"/>
          <w:b/>
          <w:sz w:val="32"/>
          <w:szCs w:val="32"/>
        </w:rPr>
        <w:t xml:space="preserve">Regionalnego Programu Operacyjnego Województwa Podkarpackiego </w:t>
      </w:r>
    </w:p>
    <w:p w:rsidR="00174920" w:rsidRPr="002D7154" w:rsidRDefault="002D0BAA" w:rsidP="00AE7121">
      <w:pPr>
        <w:pStyle w:val="Standard"/>
        <w:autoSpaceDE w:val="0"/>
        <w:jc w:val="center"/>
        <w:rPr>
          <w:b/>
          <w:sz w:val="32"/>
          <w:szCs w:val="32"/>
        </w:rPr>
      </w:pPr>
      <w:r w:rsidRPr="002D7154">
        <w:rPr>
          <w:rFonts w:ascii="Arial" w:hAnsi="Arial" w:cs="Arial"/>
          <w:b/>
          <w:sz w:val="32"/>
          <w:szCs w:val="32"/>
        </w:rPr>
        <w:t>na lata 2014 - 2020</w:t>
      </w:r>
    </w:p>
    <w:p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14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560"/>
        <w:gridCol w:w="3521"/>
        <w:gridCol w:w="1438"/>
        <w:gridCol w:w="7528"/>
      </w:tblGrid>
      <w:tr w:rsidR="00174920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  <w:p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wskaźnika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wskaźnika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Default="002D0BAA" w:rsidP="002D7154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Default="002D0BAA" w:rsidP="002D7154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DEFINICJA</w:t>
            </w:r>
          </w:p>
        </w:tc>
      </w:tr>
      <w:tr w:rsidR="00174920" w:rsidTr="00A63A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43633C" w:rsidRDefault="002D0BAA" w:rsidP="0043633C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33C">
              <w:rPr>
                <w:rFonts w:ascii="Arial" w:hAnsi="Arial" w:cs="Arial"/>
                <w:b/>
                <w:sz w:val="22"/>
                <w:szCs w:val="22"/>
              </w:rPr>
              <w:t>WSKA</w:t>
            </w:r>
            <w:r w:rsidR="0043633C">
              <w:rPr>
                <w:rFonts w:ascii="Arial" w:hAnsi="Arial" w:cs="Arial"/>
                <w:b/>
                <w:sz w:val="22"/>
                <w:szCs w:val="22"/>
              </w:rPr>
              <w:t>Ź</w:t>
            </w:r>
            <w:r w:rsidRPr="0043633C">
              <w:rPr>
                <w:rFonts w:ascii="Arial" w:hAnsi="Arial" w:cs="Arial"/>
                <w:b/>
                <w:sz w:val="22"/>
                <w:szCs w:val="22"/>
              </w:rPr>
              <w:t>NIKI PRODUKTU</w:t>
            </w:r>
          </w:p>
        </w:tc>
      </w:tr>
      <w:tr w:rsidR="00174920" w:rsidTr="00C322CD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174920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2D0BAA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</w:t>
            </w:r>
          </w:p>
          <w:p w:rsidR="002C4B4E" w:rsidRPr="006D6239" w:rsidRDefault="002C4B4E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2D0BAA" w:rsidP="00D42D64">
            <w:pPr>
              <w:pStyle w:val="Standard"/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Liczba obiektów dostosowanych do potrzeb osób 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br/>
              <w:t>z niepełnosprawnościami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2D0BA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Default="002D0BA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 xml:space="preserve">Wskaźnik </w:t>
            </w:r>
            <w:r w:rsidR="00C10FAB" w:rsidRPr="006D6239">
              <w:rPr>
                <w:rFonts w:ascii="Arial" w:hAnsi="Arial" w:cs="Arial"/>
                <w:sz w:val="22"/>
                <w:szCs w:val="22"/>
              </w:rPr>
              <w:t>określa liczbę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 obiektów, które </w:t>
            </w:r>
            <w:r w:rsidR="00236A9C" w:rsidRPr="006D6239">
              <w:rPr>
                <w:rFonts w:ascii="Arial" w:hAnsi="Arial" w:cs="Arial"/>
                <w:sz w:val="22"/>
                <w:szCs w:val="22"/>
              </w:rPr>
              <w:t xml:space="preserve">w wyniku realizacji 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zaopatrzono </w:t>
            </w:r>
            <w:r w:rsidR="004A5BDB">
              <w:rPr>
                <w:rFonts w:ascii="Arial" w:hAnsi="Arial" w:cs="Arial"/>
                <w:sz w:val="22"/>
                <w:szCs w:val="22"/>
              </w:rPr>
              <w:br/>
            </w:r>
            <w:r w:rsidRPr="006D6239">
              <w:rPr>
                <w:rFonts w:ascii="Arial" w:hAnsi="Arial" w:cs="Arial"/>
                <w:sz w:val="22"/>
                <w:szCs w:val="22"/>
              </w:rPr>
              <w:t>w specjalne podjazdy, windy, urządzenia głośnomówiące, bądź inne udogodnienia (tj. usunięcie barier w dostępie, w szczególności barier architektonicznych) ułatwiające dostęp do tych obiektów osobom niepełnosprawnym ruchowo czy sensorycznie.</w:t>
            </w:r>
          </w:p>
          <w:p w:rsidR="005224BE" w:rsidRPr="005224BE" w:rsidRDefault="005224BE" w:rsidP="005224B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C87">
              <w:rPr>
                <w:rFonts w:ascii="Arial" w:hAnsi="Arial" w:cs="Arial"/>
                <w:sz w:val="22"/>
                <w:szCs w:val="22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:rsidR="00174920" w:rsidRPr="006D6239" w:rsidRDefault="002D0BA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Należy podawać liczbę obiektów, a nie sprzętów, urządzeń itp., w które obiekty zaopatrzono. Jeśli instytucja, zakład itp. składa się z kilku obiektów, należy zliczyć wszystkie, które dostosowano do potrzeb osób niepełnosprawnych.</w:t>
            </w:r>
          </w:p>
        </w:tc>
      </w:tr>
      <w:tr w:rsidR="00174920" w:rsidTr="00C322CD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174920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2D0BAA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</w:t>
            </w:r>
          </w:p>
          <w:p w:rsidR="002C4B4E" w:rsidRPr="006D6239" w:rsidRDefault="002C4B4E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2D0BAA" w:rsidP="00D42D64">
            <w:pPr>
              <w:pStyle w:val="Standard"/>
              <w:tabs>
                <w:tab w:val="center" w:pos="4536"/>
                <w:tab w:val="right" w:pos="9072"/>
              </w:tabs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6239">
              <w:rPr>
                <w:rFonts w:ascii="Arial" w:hAnsi="Arial" w:cs="Arial"/>
                <w:bCs/>
                <w:sz w:val="22"/>
                <w:szCs w:val="22"/>
              </w:rPr>
              <w:t>Liczba projektów, w których sfinansowano koszty racjonalnych usprawnień dla osób z niepełnosprawnościami</w:t>
            </w:r>
            <w:r w:rsidR="00C53076">
              <w:rPr>
                <w:rFonts w:ascii="Arial" w:hAnsi="Arial" w:cs="Arial"/>
                <w:bCs/>
                <w:sz w:val="22"/>
                <w:szCs w:val="22"/>
              </w:rPr>
              <w:t xml:space="preserve"> [szt.]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2D0BAA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20" w:rsidRPr="006D6239" w:rsidRDefault="00111D1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 xml:space="preserve">Wskaźnik określa liczbę projektów, w których </w:t>
            </w:r>
            <w:r w:rsidR="00236A9C" w:rsidRPr="006D6239">
              <w:rPr>
                <w:rFonts w:ascii="Arial" w:hAnsi="Arial" w:cs="Arial"/>
                <w:sz w:val="22"/>
                <w:szCs w:val="22"/>
              </w:rPr>
              <w:t xml:space="preserve">w wyniku realizacji 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wprowadzono racjonalne usprawnienia, tj. </w:t>
            </w:r>
            <w:r w:rsidR="002D0BAA" w:rsidRPr="006D6239">
              <w:rPr>
                <w:rFonts w:ascii="Arial" w:hAnsi="Arial" w:cs="Arial"/>
                <w:sz w:val="22"/>
                <w:szCs w:val="22"/>
              </w:rPr>
              <w:t xml:space="preserve">konieczne i odpowiednie zmiany oraz dostosowania, nie nakładające nieproporcjonalnego lub nadmiernego obciążenia, rozpatrywane osobno dla każdego konkretnego przypadku, </w:t>
            </w:r>
            <w:r w:rsidR="004A5BDB">
              <w:rPr>
                <w:rFonts w:ascii="Arial" w:hAnsi="Arial" w:cs="Arial"/>
                <w:sz w:val="22"/>
                <w:szCs w:val="22"/>
              </w:rPr>
              <w:br/>
            </w:r>
            <w:r w:rsidR="002D0BAA" w:rsidRPr="006D6239">
              <w:rPr>
                <w:rFonts w:ascii="Arial" w:hAnsi="Arial" w:cs="Arial"/>
                <w:sz w:val="22"/>
                <w:szCs w:val="22"/>
              </w:rPr>
              <w:t>w celu zapewnienia osobom z niepełnosprawnościami możliwości korzystania z wszelkich praw człowieka i podstawowych wolności oraz ich wykonywania na zasadzie równości z innymi osobami</w:t>
            </w:r>
            <w:r w:rsidR="002D0BAA" w:rsidRPr="006D623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="002D0BAA" w:rsidRPr="006D6239">
              <w:rPr>
                <w:rFonts w:ascii="Arial" w:hAnsi="Arial" w:cs="Arial"/>
                <w:sz w:val="22"/>
                <w:szCs w:val="22"/>
                <w:vertAlign w:val="superscript"/>
              </w:rPr>
              <w:t>.</w:t>
            </w:r>
          </w:p>
          <w:p w:rsidR="00C10FAB" w:rsidRPr="006D6239" w:rsidRDefault="002D0BAA" w:rsidP="00C10FAB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Przykłady racjonalnych usprawnień: </w:t>
            </w:r>
            <w:r w:rsidR="00C10FAB"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dostosowania architektonicznego budynków niedostępnych (np. zmiana miejsca</w:t>
            </w:r>
            <w:r w:rsidR="002C4B4E"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="004A5B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realizacji projektu; budowa tymczasowych podjazdów;</w:t>
            </w:r>
            <w:r w:rsidR="00C10FAB"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montaż platform, wind, podnośników; właściwe oznakowanie budynków poprzez wprowadzanie elementów kontrastowych i wypukłych celem właściwego oznakowania </w:t>
            </w:r>
            <w:r w:rsidR="00055991"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odpowiednio </w:t>
            </w:r>
            <w:r w:rsidR="00C10FAB"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dla osób</w:t>
            </w:r>
          </w:p>
          <w:p w:rsidR="00C10FAB" w:rsidRPr="006D6239" w:rsidRDefault="00C10FAB" w:rsidP="00C10FAB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niewidomych i słabowidzących itp.);</w:t>
            </w:r>
          </w:p>
          <w:p w:rsidR="00C10FAB" w:rsidRPr="006D6239" w:rsidRDefault="00C10FAB" w:rsidP="00C10FAB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dostosowania infrastruktury komputerowej (np. wynajęcie lub zakup </w:t>
            </w:r>
            <w:r w:rsidR="00D42D6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br/>
            </w: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i instalacja programów powiększających, mówiących, kamer do kontaktu </w:t>
            </w:r>
            <w:r w:rsidR="00D42D6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br/>
            </w: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z osobą posługującą się językiem migowym, drukarek</w:t>
            </w:r>
            <w:r w:rsidR="004A5BD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</w:t>
            </w: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materiałów </w:t>
            </w:r>
            <w:r w:rsidR="00D42D6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br/>
            </w: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w alfabecie Braille’a); dostosowania akustycznego (wynajęcie lub zakup </w:t>
            </w:r>
            <w:r w:rsidR="00D42D6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br/>
            </w:r>
            <w:r w:rsidRPr="006D623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i montaż systemów wspomagających słyszenie, np. pętli indukcyjnych, systemów FM);</w:t>
            </w:r>
            <w:r w:rsidR="00737AEB" w:rsidRPr="006D6239">
              <w:rPr>
                <w:rStyle w:val="Odwoanieprzypisudolnego"/>
                <w:rFonts w:ascii="Arial" w:eastAsia="Times New Roman" w:hAnsi="Arial" w:cs="Arial"/>
                <w:sz w:val="22"/>
                <w:szCs w:val="22"/>
                <w:lang w:bidi="ar-SA"/>
              </w:rPr>
              <w:footnoteReference w:id="2"/>
            </w:r>
          </w:p>
          <w:p w:rsidR="00174920" w:rsidRPr="006D6239" w:rsidRDefault="001749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D61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  <w:lang w:eastAsia="pl-PL"/>
              </w:rPr>
              <w:t>Liczba wspartych podmiotów leczniczych</w:t>
            </w:r>
            <w:r w:rsidR="00C5307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[szt.]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E24F8" w:rsidRDefault="00290D61" w:rsidP="000464B8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D6239">
              <w:rPr>
                <w:rFonts w:ascii="Arial" w:hAnsi="Arial" w:cs="Arial"/>
                <w:sz w:val="22"/>
                <w:szCs w:val="22"/>
                <w:lang w:eastAsia="pl-PL"/>
              </w:rPr>
              <w:t xml:space="preserve">Wskaźnik odnosi się do podmiotów leczniczych 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objętych </w:t>
            </w:r>
            <w:r w:rsidRPr="006D6239">
              <w:rPr>
                <w:rFonts w:ascii="Arial" w:hAnsi="Arial" w:cs="Arial"/>
                <w:sz w:val="22"/>
                <w:szCs w:val="22"/>
                <w:lang w:eastAsia="pl-PL"/>
              </w:rPr>
              <w:t>robot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ami</w:t>
            </w:r>
            <w:r w:rsidRPr="006D623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budowlan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ymi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remont,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przebudow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>a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, rozbudow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>a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nadbudow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>a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  <w:r w:rsidR="007914B6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i/lub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doposaż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onych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CC6245" w:rsidRPr="006E24F8">
              <w:rPr>
                <w:rFonts w:ascii="Arial" w:hAnsi="Arial" w:cs="Arial"/>
                <w:sz w:val="22"/>
                <w:szCs w:val="22"/>
                <w:lang w:eastAsia="pl-PL"/>
              </w:rPr>
              <w:t>w wyroby medyczne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niezbędn</w:t>
            </w:r>
            <w:r w:rsidR="00CC6245" w:rsidRPr="006E24F8">
              <w:rPr>
                <w:rFonts w:ascii="Arial" w:hAnsi="Arial" w:cs="Arial"/>
                <w:sz w:val="22"/>
                <w:szCs w:val="22"/>
                <w:lang w:eastAsia="pl-PL"/>
              </w:rPr>
              <w:t>e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udzielania świadczeń medycznych. </w:t>
            </w:r>
          </w:p>
          <w:p w:rsidR="00290D61" w:rsidRPr="006E24F8" w:rsidRDefault="00290D61" w:rsidP="000464B8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ramach wskaźnika należy wykazać: </w:t>
            </w:r>
          </w:p>
          <w:p w:rsidR="00290D61" w:rsidRPr="006E24F8" w:rsidRDefault="00290D61" w:rsidP="000464B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doposażone podmioty lecznicze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:rsidR="00290D61" w:rsidRPr="006E24F8" w:rsidRDefault="00290D61" w:rsidP="000464B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podmioty lecznicze, 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w których wykonano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roboty budowlane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(w ramach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remontu,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przebudowy, rozbudowy i nadbudowy)</w:t>
            </w:r>
          </w:p>
          <w:p w:rsidR="00290D61" w:rsidRPr="006E24F8" w:rsidRDefault="00290D61" w:rsidP="000464B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doposażone podmioty lecznicze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6E24F8">
              <w:rPr>
                <w:rFonts w:ascii="Arial" w:hAnsi="Arial" w:cs="Arial"/>
                <w:sz w:val="22"/>
                <w:szCs w:val="22"/>
                <w:lang w:eastAsia="pl-PL"/>
              </w:rPr>
              <w:t>w których wykonano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roboty budowlane (w ramach </w:t>
            </w:r>
            <w:r w:rsidR="008344CD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remontu,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przebudowy, rozbudowy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i nadbudowy).  </w:t>
            </w:r>
          </w:p>
          <w:p w:rsidR="00290D61" w:rsidRPr="00D731D9" w:rsidRDefault="00F6634F" w:rsidP="00087D1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>Przez wyroby</w:t>
            </w:r>
            <w:r w:rsidR="004360F8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medyczne </w:t>
            </w:r>
            <w:r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należy rozumieć</w:t>
            </w:r>
            <w:r w:rsidR="00D60827" w:rsidRPr="006E24F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narzędzia, przyrządy, urządzenia i oprogramowanie do celów diagnostycznych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="00D60827" w:rsidRPr="006E24F8">
              <w:rPr>
                <w:rFonts w:ascii="Arial" w:hAnsi="Arial" w:cs="Arial"/>
                <w:sz w:val="22"/>
                <w:szCs w:val="22"/>
                <w:lang w:eastAsia="pl-PL"/>
              </w:rPr>
              <w:t>i terapeutycznych, z wyłączeniem wyrobów jednorazowego użytku, materiałów zużywalnych  oraz produktów leczniczych.</w:t>
            </w:r>
          </w:p>
          <w:p w:rsidR="00E40012" w:rsidRPr="00D731D9" w:rsidRDefault="00E40012" w:rsidP="00D60827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731D9">
              <w:rPr>
                <w:rFonts w:ascii="Arial" w:hAnsi="Arial" w:cs="Arial"/>
                <w:sz w:val="22"/>
                <w:szCs w:val="22"/>
                <w:lang w:eastAsia="pl-PL"/>
              </w:rPr>
              <w:t xml:space="preserve">Metoda pomiaru wskaźnika: </w:t>
            </w:r>
            <w:r w:rsidR="004A5BDB">
              <w:rPr>
                <w:rFonts w:ascii="Arial" w:hAnsi="Arial" w:cs="Arial"/>
                <w:sz w:val="22"/>
                <w:szCs w:val="22"/>
                <w:lang w:eastAsia="pl-PL"/>
              </w:rPr>
              <w:t>w</w:t>
            </w:r>
            <w:r w:rsidR="00D60827" w:rsidRPr="00D731D9">
              <w:rPr>
                <w:rFonts w:ascii="Arial" w:hAnsi="Arial" w:cs="Arial"/>
                <w:sz w:val="22"/>
                <w:szCs w:val="22"/>
                <w:lang w:eastAsia="pl-PL"/>
              </w:rPr>
              <w:t xml:space="preserve">skaźnik należy określić opierając się </w:t>
            </w:r>
            <w:r w:rsidR="004A5BDB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="00D60827" w:rsidRPr="00D731D9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 dokumentacji projektowej, decyzjach o pozwoleniu na użytkowanie </w:t>
            </w:r>
            <w:r w:rsidR="004A5BDB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="00D60827" w:rsidRPr="00D731D9">
              <w:rPr>
                <w:rFonts w:ascii="Arial" w:hAnsi="Arial" w:cs="Arial"/>
                <w:sz w:val="22"/>
                <w:szCs w:val="22"/>
                <w:lang w:eastAsia="pl-PL"/>
              </w:rPr>
              <w:t>lub zgłoszeniach o przystąpieniu do użytkowania lub protokołach odbioru obiektów przebudowywanych w ramach inwestycji, protokołach odbioru.</w:t>
            </w:r>
          </w:p>
          <w:p w:rsidR="00D60827" w:rsidRPr="006D6239" w:rsidRDefault="00D60827" w:rsidP="00D60827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731D9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Poszczególne podmioty należy uwzględnić we wskaźniku po zakończeniu realizacji ww. działań i oddaniu do eksploatacji lub po uzyskaniu pozwolenia na użytkowanie albo upłynięciu terminu niezbędnego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D731D9">
              <w:rPr>
                <w:rFonts w:ascii="Arial" w:hAnsi="Arial" w:cs="Arial"/>
                <w:sz w:val="22"/>
                <w:szCs w:val="22"/>
                <w:lang w:eastAsia="pl-PL"/>
              </w:rPr>
              <w:t>po zgłoszeniu o przystąpieniu do eksploatacji, jeśli takie było wymagane.</w:t>
            </w:r>
          </w:p>
        </w:tc>
      </w:tr>
      <w:tr w:rsidR="00290D61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95372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953724">
            <w:pPr>
              <w:pStyle w:val="Standard"/>
              <w:tabs>
                <w:tab w:val="center" w:pos="4536"/>
                <w:tab w:val="right" w:pos="9072"/>
              </w:tabs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  <w:lang w:eastAsia="pl-PL"/>
              </w:rPr>
              <w:t>Nakłady inwestycyjne na zakup aparatury medycznej</w:t>
            </w:r>
            <w:r w:rsidR="00C5307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[zł]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953724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635149">
            <w:pPr>
              <w:pStyle w:val="Standard"/>
              <w:jc w:val="both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6D623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Nakłady poniesione przez beneficjenta na zakup </w:t>
            </w:r>
            <w:r w:rsidR="0063514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aparatury medycznej rozumianej jako wyroby medyczne</w:t>
            </w:r>
            <w:r w:rsidR="00635149">
              <w:t xml:space="preserve"> </w:t>
            </w:r>
            <w:r w:rsidR="00635149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(tj. narzędzi</w:t>
            </w:r>
            <w:r w:rsidR="0063514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a</w:t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, przyrząd</w:t>
            </w:r>
            <w:r w:rsidR="0063514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y</w:t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, urządze</w:t>
            </w:r>
            <w:r w:rsidR="0063514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nia</w:t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D42D64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br/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i oprogramowani</w:t>
            </w:r>
            <w:r w:rsidR="00504DF5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a</w:t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do celów diagnostycznych i terapeutycznych, </w:t>
            </w:r>
            <w:r w:rsidR="00D42D64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br/>
            </w:r>
            <w:r w:rsidR="00C53076" w:rsidRPr="00C53076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lastRenderedPageBreak/>
              <w:t>z wyłączeniem wyrobów jednorazowego użytku, materiałów zużywalnych  oraz produktów leczniczych)</w:t>
            </w:r>
            <w:r w:rsidRPr="006D623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806E7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objętych przedmiotem projektu</w:t>
            </w:r>
            <w:r w:rsidRPr="006D6239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. </w:t>
            </w:r>
            <w:r w:rsidRPr="00806E7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Nakłady obejmują </w:t>
            </w:r>
            <w:r w:rsidR="00C62FFB" w:rsidRPr="00806E7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całkowite wydatki poniesione na ww. zakup</w:t>
            </w:r>
            <w:r w:rsidR="00504DF5" w:rsidRPr="00806E7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określone</w:t>
            </w:r>
            <w:r w:rsidR="00504DF5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D42D64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br/>
            </w:r>
            <w:r w:rsidR="00F6634F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we wniosku o dofinansowanie.</w:t>
            </w:r>
          </w:p>
        </w:tc>
      </w:tr>
      <w:tr w:rsidR="00290D61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8D0863" w:rsidRDefault="00290D61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954616" w:rsidRDefault="00290D61" w:rsidP="0095372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616"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954616" w:rsidRDefault="00290D61" w:rsidP="00953724">
            <w:pPr>
              <w:pStyle w:val="Standard"/>
              <w:tabs>
                <w:tab w:val="center" w:pos="4536"/>
                <w:tab w:val="right" w:pos="9072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54616">
              <w:rPr>
                <w:rFonts w:ascii="Arial" w:hAnsi="Arial" w:cs="Arial"/>
                <w:sz w:val="22"/>
                <w:szCs w:val="22"/>
                <w:lang w:eastAsia="pl-PL"/>
              </w:rPr>
              <w:t>Liczba wspartych ośrodków opieki nad osobami zależnymi</w:t>
            </w:r>
            <w:r w:rsidR="00C5307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[szt.]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954616" w:rsidRDefault="00C73FA6" w:rsidP="00953724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C6FCD">
              <w:rPr>
                <w:rFonts w:ascii="Arial" w:hAnsi="Arial" w:cs="Arial"/>
                <w:sz w:val="22"/>
                <w:szCs w:val="22"/>
              </w:rPr>
              <w:t>zt.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87" w:rsidRPr="00222B71" w:rsidRDefault="00290D61" w:rsidP="004E2C87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5461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Wskaźnik odnosi się do liczby obiektów opieki nad osobami zależnymi </w:t>
            </w:r>
            <w:r w:rsidRPr="00222B7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objętych wsparciem w wyniku realizacji projektu. </w:t>
            </w:r>
            <w:r w:rsidR="004E2C87"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ramach wskaźnika należy wykazać: </w:t>
            </w:r>
          </w:p>
          <w:p w:rsidR="004E2C87" w:rsidRPr="00222B71" w:rsidRDefault="004E2C87" w:rsidP="004E2C87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>doposażone podmioty lecznicze,</w:t>
            </w:r>
          </w:p>
          <w:p w:rsidR="004E2C87" w:rsidRPr="00222B71" w:rsidRDefault="004E2C87" w:rsidP="004E2C87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podmioty lecznicze, </w:t>
            </w:r>
            <w:r w:rsidR="00806E7C" w:rsidRPr="00222B71">
              <w:rPr>
                <w:rFonts w:ascii="Arial" w:hAnsi="Arial" w:cs="Arial"/>
                <w:sz w:val="22"/>
                <w:szCs w:val="22"/>
                <w:lang w:eastAsia="pl-PL"/>
              </w:rPr>
              <w:t>w których wykonano</w:t>
            </w: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roboty budowlane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>(w ramach remontu,  przebudowy, rozbudowy i nadbudowy)</w:t>
            </w:r>
          </w:p>
          <w:p w:rsidR="004E2C87" w:rsidRPr="00222B71" w:rsidRDefault="004E2C87" w:rsidP="004E2C87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doposażone podmioty lecznicze </w:t>
            </w:r>
            <w:r w:rsidR="00806E7C"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których wykonano </w:t>
            </w: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roboty budowlane (w ramach remontu, przebudowy, rozbudowy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222B71">
              <w:rPr>
                <w:rFonts w:ascii="Arial" w:hAnsi="Arial" w:cs="Arial"/>
                <w:sz w:val="22"/>
                <w:szCs w:val="22"/>
                <w:lang w:eastAsia="pl-PL"/>
              </w:rPr>
              <w:t xml:space="preserve">i nadbudowy).  </w:t>
            </w:r>
          </w:p>
          <w:p w:rsidR="004360F8" w:rsidRPr="00C73FA6" w:rsidRDefault="00290D61" w:rsidP="00953724">
            <w:pPr>
              <w:pStyle w:val="Standard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95461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Osoba zależna (zgodnie z ustawą z dnia 20 kwietnia 2004 r. o promocji zatrudnienia i instytucjach rynku pracy) to osoba wymagająca ze względu na stan zdrowia lub wiek wymaga stałej opieki, połączona więzami rodzinnymi lub powinowactwem z osobą objętą usługami lub instrumentami rynku pracy lub pozostającą z nią we wspólnym gospodarstwie domowym. Opieka ma wymiar dzienny lub całodobowy. </w:t>
            </w:r>
          </w:p>
        </w:tc>
      </w:tr>
      <w:tr w:rsidR="00447FBE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BE" w:rsidRPr="006D6239" w:rsidRDefault="00447FBE" w:rsidP="00447FBE">
            <w:pPr>
              <w:pStyle w:val="Akapitzlist"/>
              <w:numPr>
                <w:ilvl w:val="0"/>
                <w:numId w:val="24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BE" w:rsidRPr="006D6239" w:rsidRDefault="00447FBE" w:rsidP="00447FB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691">
              <w:rPr>
                <w:rFonts w:ascii="Arial" w:hAnsi="Arial" w:cs="Arial"/>
                <w:sz w:val="22"/>
                <w:szCs w:val="22"/>
              </w:rPr>
              <w:t>Specyficzne dla projektu*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BE" w:rsidRPr="00EA7691" w:rsidRDefault="00447FBE" w:rsidP="00447FB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C73FA6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Liczba zakupionych wyrobów medycznych  </w:t>
            </w:r>
          </w:p>
          <w:p w:rsidR="00447FBE" w:rsidRPr="006D6239" w:rsidRDefault="00447FBE" w:rsidP="00447FBE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BE" w:rsidRPr="006D6239" w:rsidRDefault="00447FBE" w:rsidP="00447FB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69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BE" w:rsidRPr="00C73FA6" w:rsidRDefault="00447FBE" w:rsidP="004A5BDB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C92760">
              <w:rPr>
                <w:rFonts w:ascii="Arial" w:hAnsi="Arial" w:cs="Arial"/>
                <w:sz w:val="22"/>
                <w:szCs w:val="22"/>
                <w:lang w:eastAsia="pl-PL"/>
              </w:rPr>
              <w:t>Wskaźnik odnosi się do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l</w:t>
            </w:r>
            <w:r w:rsidRPr="00EA7691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iczb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y</w:t>
            </w:r>
            <w:r w:rsidRPr="00EA7691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 zakupion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ych wyrobów medycznych </w:t>
            </w:r>
            <w:r w:rsidR="004A5BDB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br/>
            </w:r>
            <w:r w:rsidR="005452A4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(tj. </w:t>
            </w:r>
            <w:r w:rsidR="005452A4" w:rsidRPr="005452A4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narzędzia, przyrządy, urządzenia i oprogramowanie do celów diagn</w:t>
            </w:r>
            <w:r w:rsidR="005452A4" w:rsidRPr="005452A4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o</w:t>
            </w:r>
            <w:r w:rsidR="005452A4" w:rsidRPr="005452A4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stycznych i terapeutycznych) 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w  wyniku realizacji projektu. Wskaźnik </w:t>
            </w:r>
            <w:r w:rsidR="004A5BDB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nie obejmuje wyrobów jednorazowego użytku</w:t>
            </w:r>
            <w:r w:rsidR="005B77D7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5452A4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materiałów zużywalnych</w:t>
            </w:r>
            <w:r w:rsidR="005B77D7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  oraz produktów leczniczych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.</w:t>
            </w:r>
            <w:r w:rsidR="00087D12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 We wskaźniku należy ująć wyroby pozyskane w r</w:t>
            </w:r>
            <w:r w:rsidR="00087D12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a</w:t>
            </w:r>
            <w:r w:rsidR="00087D12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mach wydatków kwalifikowanych.</w:t>
            </w:r>
          </w:p>
        </w:tc>
      </w:tr>
      <w:tr w:rsidR="00290D61" w:rsidTr="00350D9B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Default="00290D61" w:rsidP="00020E52">
            <w:pPr>
              <w:pStyle w:val="Standard"/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5A7626" w:rsidRDefault="00705B47" w:rsidP="00705B47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43633C">
              <w:rPr>
                <w:rFonts w:ascii="Arial" w:hAnsi="Arial" w:cs="Arial"/>
                <w:b/>
                <w:sz w:val="22"/>
                <w:szCs w:val="22"/>
              </w:rPr>
              <w:t>WSKA</w:t>
            </w:r>
            <w:r>
              <w:rPr>
                <w:rFonts w:ascii="Arial" w:hAnsi="Arial" w:cs="Arial"/>
                <w:b/>
                <w:sz w:val="22"/>
                <w:szCs w:val="22"/>
              </w:rPr>
              <w:t>Ź</w:t>
            </w:r>
            <w:r w:rsidRPr="0043633C">
              <w:rPr>
                <w:rFonts w:ascii="Arial" w:hAnsi="Arial" w:cs="Arial"/>
                <w:b/>
                <w:sz w:val="22"/>
                <w:szCs w:val="22"/>
              </w:rPr>
              <w:t>NIKI</w:t>
            </w:r>
            <w:r w:rsidR="00290D61" w:rsidRPr="005A7626">
              <w:rPr>
                <w:rFonts w:ascii="Arial" w:hAnsi="Arial" w:cs="Arial"/>
                <w:b/>
                <w:szCs w:val="28"/>
              </w:rPr>
              <w:t xml:space="preserve"> </w:t>
            </w:r>
            <w:r w:rsidRPr="00705B47">
              <w:rPr>
                <w:rFonts w:ascii="Arial" w:hAnsi="Arial" w:cs="Arial"/>
                <w:b/>
                <w:sz w:val="22"/>
                <w:szCs w:val="22"/>
              </w:rPr>
              <w:t>REZULTATU</w:t>
            </w:r>
          </w:p>
        </w:tc>
      </w:tr>
      <w:tr w:rsidR="00290D61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020E52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6D6239" w:rsidRDefault="00290D61" w:rsidP="004E54CB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E43C7E" w:rsidRDefault="00087D12" w:rsidP="004E54CB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C7E">
              <w:rPr>
                <w:rFonts w:ascii="Arial" w:hAnsi="Arial" w:cs="Arial"/>
                <w:sz w:val="22"/>
                <w:szCs w:val="22"/>
                <w:lang w:eastAsia="pl-PL"/>
              </w:rPr>
              <w:t>Ludność objęta ulepszonymi usługami zdrowotnymi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C53076" w:rsidRPr="00E43C7E">
              <w:rPr>
                <w:rFonts w:ascii="Arial" w:hAnsi="Arial" w:cs="Arial"/>
                <w:sz w:val="22"/>
                <w:szCs w:val="22"/>
                <w:lang w:eastAsia="pl-PL"/>
              </w:rPr>
              <w:t>[osoby] (CI 36)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61" w:rsidRPr="00E43C7E" w:rsidRDefault="00290D6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7E">
              <w:rPr>
                <w:rFonts w:ascii="Arial" w:hAnsi="Arial" w:cs="Arial"/>
                <w:sz w:val="22"/>
                <w:szCs w:val="22"/>
              </w:rPr>
              <w:t>osoba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C7E" w:rsidRPr="00E43C7E" w:rsidRDefault="00E43C7E" w:rsidP="00E43C7E">
            <w:pPr>
              <w:widowControl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</w:pP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Wskaźnik określa liczbę osób zamieszkujących dany obszar, która będzie korzystała z usług zdrowotnych świadczonych </w:t>
            </w:r>
            <w:r w:rsidR="00870B8F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przez wsparte </w:t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w </w:t>
            </w:r>
            <w:r w:rsidR="00870B8F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>ramach</w:t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 projektu</w:t>
            </w:r>
            <w:r w:rsidR="00870B8F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 podmioty lecznicze</w:t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, tj. osoby korzystające z ulepszonych budynków, wyposażenia w nowy sprzęt na bazie których realizowane </w:t>
            </w:r>
            <w:r w:rsidR="00D42D64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br/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>są  różnego typu usługi zd</w:t>
            </w:r>
            <w:r w:rsidR="00870B8F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>rowotne (np. opieka szpitalna),</w:t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 w oparciu </w:t>
            </w:r>
            <w:r w:rsidR="00D42D64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br/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>o infrastrukturę objętą projektem.</w:t>
            </w:r>
          </w:p>
          <w:p w:rsidR="00E43C7E" w:rsidRPr="00E43C7E" w:rsidRDefault="00E43C7E" w:rsidP="00E43C7E">
            <w:pPr>
              <w:widowControl/>
              <w:autoSpaceDE w:val="0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</w:pP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 xml:space="preserve">Wartość wskaźnika powinna być szacowana na podstawie danych historycznych dot. osób korzystających z usług zdrowotnych (tj. należy </w:t>
            </w: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lastRenderedPageBreak/>
              <w:t>przyjąć dane za rok poprzedzające rok ogłoszenia konkursu), uwzględniając jednocześnie zwiększony potencjał świadczenia ulepszonych usług, uzyskany w wyniku realizacji projektu.</w:t>
            </w:r>
          </w:p>
          <w:p w:rsidR="00E43C7E" w:rsidRPr="00E43C7E" w:rsidRDefault="00E43C7E" w:rsidP="00E43C7E">
            <w:pPr>
              <w:widowControl/>
              <w:autoSpaceDE w:val="0"/>
              <w:jc w:val="both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</w:pPr>
            <w:r w:rsidRPr="00E43C7E">
              <w:rPr>
                <w:rFonts w:ascii="Arial" w:eastAsia="Times New Roman" w:hAnsi="Arial" w:cs="Arial"/>
                <w:sz w:val="22"/>
                <w:szCs w:val="22"/>
                <w:lang w:eastAsia="pl-PL" w:bidi="ar-SA"/>
              </w:rPr>
              <w:t>Należy przyjmować wartość docelową wskaźnika  w okresie 12 miesięcy od dnia zakończenia realizacji projektu.</w:t>
            </w:r>
          </w:p>
          <w:p w:rsidR="00290D61" w:rsidRPr="004E2C87" w:rsidRDefault="00E43C7E" w:rsidP="00F663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43C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Wyklucza się podwójne liczenie osób nawet jeśli kilka usług skierowanych jest do tej samej osoby - jedna osoba liczona jest tylko raz pomimo </w:t>
            </w:r>
            <w:r w:rsidR="00D42D6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E43C7E">
              <w:rPr>
                <w:rFonts w:ascii="Arial" w:hAnsi="Arial" w:cs="Arial"/>
                <w:sz w:val="22"/>
                <w:szCs w:val="22"/>
                <w:lang w:eastAsia="pl-PL"/>
              </w:rPr>
              <w:t>że będzie korzystać z kilku usług realizowanych w wyniku wsparcia infrastruktury  z funduszy strukturalnych.</w:t>
            </w:r>
          </w:p>
        </w:tc>
      </w:tr>
      <w:tr w:rsidR="007914B6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C322CD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</w:t>
            </w:r>
          </w:p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D42D64">
            <w:pPr>
              <w:pStyle w:val="Standard"/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6239">
              <w:rPr>
                <w:rFonts w:ascii="Arial" w:hAnsi="Arial" w:cs="Arial"/>
                <w:bCs/>
                <w:sz w:val="22"/>
                <w:szCs w:val="22"/>
              </w:rPr>
              <w:t>Wzrost zatrudnienia we wspieranych podmiotach (innych niż przedsiębiorstwa)</w:t>
            </w:r>
            <w:r w:rsidR="001778AE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Wskaźnik dotyczy etatów utworzonych bezpośrednio w efekcie realizacji projektu. Należy podać docelową zakładaną liczbę utworzonych nowych etatów najpóźniej w ciągu 12 miesięcy od zakończenia realizacji projektu.</w:t>
            </w:r>
          </w:p>
          <w:p w:rsidR="007914B6" w:rsidRPr="006D6239" w:rsidRDefault="007914B6" w:rsidP="004E66C3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 xml:space="preserve">Nie są tu także liczone miejsca pracy utworzone w celu obsługi projektu. </w:t>
            </w:r>
          </w:p>
          <w:p w:rsidR="007914B6" w:rsidRPr="006D6239" w:rsidRDefault="007914B6" w:rsidP="00447FBE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 xml:space="preserve">Wskaźnik służy do pomiaru liczby pracowników zatrudnionych </w:t>
            </w:r>
            <w:r w:rsidR="00D42D64">
              <w:rPr>
                <w:rFonts w:ascii="Arial" w:hAnsi="Arial" w:cs="Arial"/>
                <w:sz w:val="22"/>
                <w:szCs w:val="22"/>
              </w:rPr>
              <w:br/>
            </w:r>
            <w:r w:rsidRPr="006D6239">
              <w:rPr>
                <w:rFonts w:ascii="Arial" w:hAnsi="Arial" w:cs="Arial"/>
                <w:sz w:val="22"/>
                <w:szCs w:val="22"/>
              </w:rPr>
              <w:t>na podstawie umowy o pracę (nie dotyczy umów o dzieło, umów zlecenia oraz stażystów). Liczba pracowników wykazywana jest w tzw. ekwiwalencie pełnego czasu pracy (EPC</w:t>
            </w:r>
            <w:r w:rsidRPr="006D623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6D623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E849C0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C0" w:rsidRPr="006D6239" w:rsidRDefault="00E849C0" w:rsidP="00E849C0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C0" w:rsidRPr="006D6239" w:rsidRDefault="00E849C0" w:rsidP="00222B71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C0" w:rsidRPr="006D6239" w:rsidRDefault="00E849C0" w:rsidP="00D42D64">
            <w:pPr>
              <w:pStyle w:val="Standard"/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1837">
              <w:rPr>
                <w:rFonts w:ascii="Arial" w:hAnsi="Arial" w:cs="Arial"/>
                <w:bCs/>
                <w:sz w:val="22"/>
                <w:szCs w:val="22"/>
              </w:rPr>
              <w:t xml:space="preserve">Wzrost zatrudnienia we </w:t>
            </w:r>
            <w:r w:rsidRPr="00E43C7E">
              <w:rPr>
                <w:rFonts w:ascii="Arial" w:hAnsi="Arial" w:cs="Arial"/>
                <w:bCs/>
                <w:sz w:val="22"/>
                <w:szCs w:val="22"/>
              </w:rPr>
              <w:t>wspieranych przedsiębiorstwach (CI 8) [EPC]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C0" w:rsidRPr="006D6239" w:rsidRDefault="00E849C0" w:rsidP="00E849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 xml:space="preserve">Wskaźnik dotyczy etatów w pełnym wymiarze czasu </w:t>
            </w:r>
            <w:r>
              <w:rPr>
                <w:rFonts w:ascii="Arial" w:hAnsi="Arial" w:cs="Arial"/>
                <w:sz w:val="22"/>
                <w:szCs w:val="22"/>
              </w:rPr>
              <w:t xml:space="preserve">pracy utworzonych bezpośrednio </w:t>
            </w:r>
            <w:r w:rsidRPr="00001837">
              <w:rPr>
                <w:rFonts w:ascii="Arial" w:hAnsi="Arial" w:cs="Arial"/>
                <w:sz w:val="22"/>
                <w:szCs w:val="22"/>
              </w:rPr>
              <w:t>w efekcie realizacji projektu. Należy podać docelową zakładaną liczbę utworzonych nowych etatów najpóźniej w ciągu 12 miesięcy od zakończenia realizacji projektu (utworzonych jako bezpośredni skutek zakończenia projektu).</w:t>
            </w:r>
          </w:p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 xml:space="preserve">Nie są tu liczone miejsca pracy utworzone w celu wdrożenia projektu. </w:t>
            </w:r>
          </w:p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 xml:space="preserve">Wskaźnik służy do pomiaru liczby pracowników zatrudnionych </w:t>
            </w:r>
            <w:r w:rsidR="00D42D64">
              <w:rPr>
                <w:rFonts w:ascii="Arial" w:hAnsi="Arial" w:cs="Arial"/>
                <w:sz w:val="22"/>
                <w:szCs w:val="22"/>
              </w:rPr>
              <w:br/>
            </w:r>
            <w:r w:rsidRPr="00001837">
              <w:rPr>
                <w:rFonts w:ascii="Arial" w:hAnsi="Arial" w:cs="Arial"/>
                <w:sz w:val="22"/>
                <w:szCs w:val="22"/>
              </w:rPr>
              <w:t>na podstawi</w:t>
            </w:r>
            <w:r w:rsidR="00222B71">
              <w:rPr>
                <w:rFonts w:ascii="Arial" w:hAnsi="Arial" w:cs="Arial"/>
                <w:sz w:val="22"/>
                <w:szCs w:val="22"/>
              </w:rPr>
              <w:t xml:space="preserve">e umowy </w:t>
            </w:r>
            <w:r w:rsidRPr="00001837">
              <w:rPr>
                <w:rFonts w:ascii="Arial" w:hAnsi="Arial" w:cs="Arial"/>
                <w:sz w:val="22"/>
                <w:szCs w:val="22"/>
              </w:rPr>
              <w:t>o pracę (nie dotyczy umów o dzieło, umów zlecenia o</w:t>
            </w:r>
            <w:r w:rsidR="00222B71">
              <w:rPr>
                <w:rFonts w:ascii="Arial" w:hAnsi="Arial" w:cs="Arial"/>
                <w:sz w:val="22"/>
                <w:szCs w:val="22"/>
              </w:rPr>
              <w:t xml:space="preserve">raz stażystów). Prace sezonowe </w:t>
            </w:r>
            <w:r w:rsidRPr="00001837">
              <w:rPr>
                <w:rFonts w:ascii="Arial" w:hAnsi="Arial" w:cs="Arial"/>
                <w:sz w:val="22"/>
                <w:szCs w:val="22"/>
              </w:rPr>
              <w:t>i niepełnowymiarowe należy przeliczyć na ekwiwalent pełnego czasu pracy.</w:t>
            </w:r>
          </w:p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>Liczba pracowników wykazywana jest w tzw. ekwiwalencie pełnego czasu pracy (EPC2).</w:t>
            </w:r>
          </w:p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 xml:space="preserve">Przedsiębiorstwo: w rozumieniu zał. 1 Rozporządzenia Komisji Europejskiej nr 651/2014 z dnia 17 czerwca 2014 roku uznającego niektóre rodzaje pomocy za zgodne z rynkiem wewnętrznym </w:t>
            </w:r>
            <w:r w:rsidR="004A5BDB">
              <w:rPr>
                <w:rFonts w:ascii="Arial" w:hAnsi="Arial" w:cs="Arial"/>
                <w:sz w:val="22"/>
                <w:szCs w:val="22"/>
              </w:rPr>
              <w:br/>
            </w:r>
            <w:r w:rsidRPr="00001837">
              <w:rPr>
                <w:rFonts w:ascii="Arial" w:hAnsi="Arial" w:cs="Arial"/>
                <w:sz w:val="22"/>
                <w:szCs w:val="22"/>
              </w:rPr>
              <w:t>z zastosowaniem art. 107 i 108 Traktatu.</w:t>
            </w:r>
          </w:p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C0" w:rsidRPr="00001837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>Przykład:</w:t>
            </w:r>
          </w:p>
          <w:p w:rsidR="00E849C0" w:rsidRPr="006D6239" w:rsidRDefault="00E849C0" w:rsidP="00E849C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37">
              <w:rPr>
                <w:rFonts w:ascii="Arial" w:hAnsi="Arial" w:cs="Arial"/>
                <w:sz w:val="22"/>
                <w:szCs w:val="22"/>
              </w:rPr>
              <w:t xml:space="preserve">W związku z realizacją projektu Wnioskodawca planuje utworzyć dodatkowe 2 etaty oraz zatrudnić 1 osobę na umowę zlecenia. </w:t>
            </w:r>
            <w:r w:rsidR="004A5BDB">
              <w:rPr>
                <w:rFonts w:ascii="Arial" w:hAnsi="Arial" w:cs="Arial"/>
                <w:sz w:val="22"/>
                <w:szCs w:val="22"/>
              </w:rPr>
              <w:br/>
            </w:r>
            <w:r w:rsidRPr="00001837">
              <w:rPr>
                <w:rFonts w:ascii="Arial" w:hAnsi="Arial" w:cs="Arial"/>
                <w:sz w:val="22"/>
                <w:szCs w:val="22"/>
              </w:rPr>
              <w:t>Wartość wskaźnika wynosi: 2 EPC.</w:t>
            </w:r>
          </w:p>
        </w:tc>
      </w:tr>
      <w:tr w:rsidR="007914B6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C322CD">
            <w:pPr>
              <w:pStyle w:val="Akapitzlist"/>
              <w:numPr>
                <w:ilvl w:val="0"/>
                <w:numId w:val="31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 horyzontalny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D42D64">
            <w:pPr>
              <w:pStyle w:val="Standard"/>
              <w:tabs>
                <w:tab w:val="center" w:pos="4536"/>
                <w:tab w:val="right" w:pos="9072"/>
              </w:tabs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Liczba </w:t>
            </w:r>
            <w:r w:rsidRPr="00D42D64">
              <w:rPr>
                <w:rFonts w:ascii="Arial" w:hAnsi="Arial" w:cs="Arial"/>
                <w:bCs/>
                <w:sz w:val="22"/>
                <w:szCs w:val="22"/>
              </w:rPr>
              <w:t>utrzymanych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 miejsc pracy</w:t>
            </w:r>
            <w:r w:rsidR="00C53076" w:rsidRPr="00C53076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 xml:space="preserve">Wskaźnik określa liczbę etatów brutto w pełnym wymiarze czasu pracy, które zostały utrzymane w wyniku wsparcia, w ciągu 12 miesięcy </w:t>
            </w:r>
            <w:r w:rsidR="004A5BDB">
              <w:rPr>
                <w:rFonts w:ascii="Arial" w:hAnsi="Arial" w:cs="Arial"/>
                <w:sz w:val="22"/>
                <w:szCs w:val="22"/>
              </w:rPr>
              <w:br/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od zakończenia realizacji projektu, a które byłyby zlikwidowane, gdyby tego wsparcia Beneficjent nie uzyskał. Etaty muszą być obsadzone (nieobsadzonych stanowisk się nie wlicza). Prace sezonowe </w:t>
            </w:r>
            <w:r w:rsidR="00D42D64">
              <w:rPr>
                <w:rFonts w:ascii="Arial" w:hAnsi="Arial" w:cs="Arial"/>
                <w:sz w:val="22"/>
                <w:szCs w:val="22"/>
              </w:rPr>
              <w:br/>
            </w:r>
            <w:r w:rsidRPr="006D6239">
              <w:rPr>
                <w:rFonts w:ascii="Arial" w:hAnsi="Arial" w:cs="Arial"/>
                <w:sz w:val="22"/>
                <w:szCs w:val="22"/>
              </w:rPr>
              <w:t>i niepełnowymiarowe należy przeliczyć na ekwiwalent pełnego czasu pracy.</w:t>
            </w:r>
          </w:p>
        </w:tc>
      </w:tr>
      <w:tr w:rsidR="007914B6" w:rsidTr="00C322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C322CD">
            <w:pPr>
              <w:pStyle w:val="Akapitzlist"/>
              <w:numPr>
                <w:ilvl w:val="0"/>
                <w:numId w:val="31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Kluczowy</w:t>
            </w:r>
          </w:p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Liczba nowo utworzonych miejsc pracy – pozostałe formy</w:t>
            </w:r>
            <w:r w:rsidR="00635149">
              <w:rPr>
                <w:rFonts w:ascii="Arial" w:hAnsi="Arial" w:cs="Arial"/>
                <w:sz w:val="22"/>
                <w:szCs w:val="22"/>
              </w:rPr>
              <w:t xml:space="preserve"> [EPC]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Wskaźnik odnosi się do miejsc pracy utworzonych w wyniku realizacji projektu, które nie spełniają definicji określonych dla pozostałych wskaźników dot. miejsc pracy.</w:t>
            </w:r>
          </w:p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 xml:space="preserve">Wskaźnik służy 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do pomiaru 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liczby etatów w odniesieniu do pracowników 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pracujących na podstawie </w:t>
            </w:r>
            <w:r w:rsidRPr="00806E7C">
              <w:rPr>
                <w:rFonts w:ascii="Arial" w:hAnsi="Arial" w:cs="Arial"/>
                <w:bCs/>
                <w:sz w:val="22"/>
                <w:szCs w:val="22"/>
              </w:rPr>
              <w:t>umów cywilnoprawnych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 tj.: umów o dzieło, umów zlecenia czy samozatrudnienia 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– kontraktu, jak i pracujących </w:t>
            </w:r>
            <w:r w:rsidR="005F2AD8">
              <w:rPr>
                <w:rFonts w:ascii="Arial" w:hAnsi="Arial" w:cs="Arial"/>
                <w:sz w:val="22"/>
                <w:szCs w:val="22"/>
              </w:rPr>
              <w:br/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na podstawie umów o pracę 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dotyczących etatów nie stałych i nie trwałych 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- np.: do obsługi projektu, 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zarówno w przedsiębiorstwach </w:t>
            </w:r>
            <w:r w:rsidRPr="006D6239">
              <w:rPr>
                <w:rFonts w:ascii="Arial" w:hAnsi="Arial" w:cs="Arial"/>
                <w:sz w:val="22"/>
                <w:szCs w:val="22"/>
              </w:rPr>
              <w:t xml:space="preserve">jak i pozostałych podmiotach </w:t>
            </w:r>
            <w:r w:rsidRPr="006D6239">
              <w:rPr>
                <w:rFonts w:ascii="Arial" w:hAnsi="Arial" w:cs="Arial"/>
                <w:bCs/>
                <w:sz w:val="22"/>
                <w:szCs w:val="22"/>
              </w:rPr>
              <w:t xml:space="preserve">nie będących przedsiębiorstwami, </w:t>
            </w:r>
            <w:r w:rsidRPr="006D6239">
              <w:rPr>
                <w:rFonts w:ascii="Arial" w:hAnsi="Arial" w:cs="Arial"/>
                <w:sz w:val="22"/>
                <w:szCs w:val="22"/>
              </w:rPr>
              <w:t>zatrudnionych bezpośrednio w efekcie realizacji projektu.</w:t>
            </w:r>
          </w:p>
          <w:p w:rsidR="007914B6" w:rsidRPr="006D6239" w:rsidRDefault="007914B6" w:rsidP="004E66C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239">
              <w:rPr>
                <w:rFonts w:ascii="Arial" w:hAnsi="Arial" w:cs="Arial"/>
                <w:sz w:val="22"/>
                <w:szCs w:val="22"/>
              </w:rPr>
              <w:t>Liczba etatów wykazywana jest w tzw. ekwiwalencie pełnego czasu pracy (EPC).</w:t>
            </w:r>
          </w:p>
        </w:tc>
      </w:tr>
      <w:tr w:rsidR="005B433A" w:rsidTr="005B43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33A" w:rsidRPr="006D6239" w:rsidRDefault="005B433A" w:rsidP="005B433A">
            <w:pPr>
              <w:pStyle w:val="Akapitzlist"/>
              <w:numPr>
                <w:ilvl w:val="0"/>
                <w:numId w:val="31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33A" w:rsidRPr="006D6239" w:rsidRDefault="005B433A" w:rsidP="005B433A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A3D">
              <w:rPr>
                <w:rFonts w:ascii="Arial" w:hAnsi="Arial" w:cs="Arial"/>
                <w:sz w:val="22"/>
                <w:szCs w:val="22"/>
              </w:rPr>
              <w:t>Specyficzny dla projektu</w:t>
            </w:r>
            <w:r w:rsidRPr="00335C9A">
              <w:t>*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33A" w:rsidRPr="006D6239" w:rsidRDefault="005B433A" w:rsidP="005B433A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C00">
              <w:rPr>
                <w:rFonts w:ascii="Arial" w:hAnsi="Arial" w:cs="Arial"/>
                <w:sz w:val="22"/>
                <w:szCs w:val="22"/>
              </w:rPr>
              <w:t xml:space="preserve">Liczba doposażonych </w:t>
            </w:r>
            <w:r w:rsidRPr="00222B71">
              <w:rPr>
                <w:rFonts w:ascii="Arial" w:hAnsi="Arial" w:cs="Arial"/>
                <w:sz w:val="22"/>
                <w:szCs w:val="22"/>
              </w:rPr>
              <w:t>obiektów</w:t>
            </w:r>
            <w:r w:rsidRPr="00140C00">
              <w:rPr>
                <w:rFonts w:ascii="Arial" w:hAnsi="Arial" w:cs="Arial"/>
                <w:sz w:val="22"/>
                <w:szCs w:val="22"/>
              </w:rPr>
              <w:t xml:space="preserve"> podmiotów leczniczych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33A" w:rsidRPr="005F2AD8" w:rsidRDefault="005B433A" w:rsidP="005B43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AD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00" w:rsidRDefault="005B433A" w:rsidP="00140C0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A3D">
              <w:rPr>
                <w:rFonts w:ascii="Arial" w:hAnsi="Arial" w:cs="Arial"/>
                <w:sz w:val="22"/>
                <w:szCs w:val="22"/>
              </w:rPr>
              <w:t>Wskaźnik odnosi się do obiektów doposażonyc</w:t>
            </w:r>
            <w:r w:rsidR="00B00C3A" w:rsidRPr="00DC0A3D">
              <w:rPr>
                <w:rFonts w:ascii="Arial" w:hAnsi="Arial" w:cs="Arial"/>
                <w:sz w:val="22"/>
                <w:szCs w:val="22"/>
              </w:rPr>
              <w:t>h w wyniku realizacji projektu</w:t>
            </w:r>
            <w:r w:rsidRPr="00DC0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C00">
              <w:rPr>
                <w:rFonts w:ascii="Arial" w:hAnsi="Arial" w:cs="Arial"/>
                <w:sz w:val="22"/>
                <w:szCs w:val="22"/>
              </w:rPr>
              <w:t xml:space="preserve">w wyposażenie </w:t>
            </w:r>
            <w:r w:rsidRPr="00DC0A3D">
              <w:rPr>
                <w:rFonts w:ascii="Arial" w:hAnsi="Arial" w:cs="Arial"/>
                <w:sz w:val="22"/>
                <w:szCs w:val="22"/>
              </w:rPr>
              <w:t xml:space="preserve"> niezbędne do udzielania świadczeń medycznych</w:t>
            </w:r>
            <w:r w:rsidR="00140C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433A" w:rsidRPr="006D6239" w:rsidRDefault="004952A5" w:rsidP="00140C0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1D9">
              <w:rPr>
                <w:rFonts w:ascii="Arial" w:hAnsi="Arial" w:cs="Arial"/>
                <w:sz w:val="22"/>
                <w:szCs w:val="22"/>
              </w:rPr>
              <w:t>Przez obiekt należy rozumieć budynek będący obiektem budowlanym, który jest trwale związany z gruntem, wydzielony z przestrzeni za pomocą przegród budowlanych oraz posiada fundamenty i dach.</w:t>
            </w:r>
          </w:p>
        </w:tc>
      </w:tr>
    </w:tbl>
    <w:p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1AFB" w:rsidRDefault="008A1AFB" w:rsidP="00BF2B3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74920" w:rsidRDefault="002D0B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EE714D">
        <w:rPr>
          <w:rFonts w:ascii="Arial" w:hAnsi="Arial" w:cs="Arial"/>
          <w:i/>
          <w:sz w:val="22"/>
          <w:szCs w:val="22"/>
        </w:rPr>
        <w:t>IZ może dopuścić stosowanie na poziomie projektu, obok WLWK 2014, wskaźników uwzględniających specyfikę danego projektu, określonych przez beneficjenta (wskaźniki specyficzne dla projektu). Wskaźniki specyficzne dla projektu podlegają monitorowaniu i rozliczeniu na poziomie projektu z uwagi na ograniczoną możliwość ich agregowania i porównywania pomiędzy projektami.</w:t>
      </w:r>
    </w:p>
    <w:p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1917" w:rsidRDefault="00AF1917" w:rsidP="0043633C">
      <w:pPr>
        <w:pStyle w:val="Standard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174920" w:rsidRDefault="002D0BAA" w:rsidP="0043633C">
      <w:pPr>
        <w:pStyle w:val="Standard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633C">
        <w:rPr>
          <w:rFonts w:ascii="Arial" w:hAnsi="Arial" w:cs="Arial"/>
          <w:b/>
          <w:sz w:val="20"/>
          <w:szCs w:val="20"/>
        </w:rPr>
        <w:lastRenderedPageBreak/>
        <w:t>UWAGA</w:t>
      </w:r>
    </w:p>
    <w:p w:rsidR="00AF1917" w:rsidRDefault="00AF1917" w:rsidP="0043633C">
      <w:pPr>
        <w:pStyle w:val="Standard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43633C" w:rsidRPr="0043633C" w:rsidRDefault="0043633C" w:rsidP="0043633C">
      <w:pPr>
        <w:pStyle w:val="Standard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174920" w:rsidRPr="0043633C" w:rsidRDefault="002D0BAA" w:rsidP="00715B1D">
      <w:pPr>
        <w:pStyle w:val="Akapitzlist"/>
        <w:numPr>
          <w:ilvl w:val="0"/>
          <w:numId w:val="19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  <w:lang w:eastAsia="ko-KR"/>
        </w:rPr>
      </w:pPr>
      <w:r w:rsidRPr="0043633C">
        <w:rPr>
          <w:rFonts w:ascii="Arial" w:hAnsi="Arial" w:cs="Arial"/>
          <w:sz w:val="20"/>
          <w:szCs w:val="20"/>
          <w:lang w:eastAsia="ko-KR"/>
        </w:rPr>
        <w:t>Planowane przedsięwzięcie należy opisać za pomocą wskaźników ustalonych dla danego naboru wniosków o dofinansowanie, zgodnie z powyższą listą.</w:t>
      </w:r>
    </w:p>
    <w:p w:rsidR="0043633C" w:rsidRDefault="002D0BAA" w:rsidP="0043633C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  <w:lang w:eastAsia="ko-KR"/>
        </w:rPr>
      </w:pPr>
      <w:r w:rsidRPr="0043633C">
        <w:rPr>
          <w:rFonts w:ascii="Arial" w:hAnsi="Arial" w:cs="Arial"/>
          <w:sz w:val="20"/>
          <w:szCs w:val="20"/>
          <w:lang w:eastAsia="ko-KR"/>
        </w:rPr>
        <w:t>Dla każdego projektu należy wybrać przynajmniej po jednym wskaźniku produktu i rezultatu.</w:t>
      </w:r>
    </w:p>
    <w:p w:rsidR="00174920" w:rsidRPr="0043633C" w:rsidRDefault="002D0BAA" w:rsidP="0043633C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  <w:lang w:eastAsia="ko-KR"/>
        </w:rPr>
      </w:pPr>
      <w:r w:rsidRPr="0043633C">
        <w:rPr>
          <w:rFonts w:ascii="Arial" w:hAnsi="Arial" w:cs="Arial"/>
          <w:sz w:val="20"/>
          <w:szCs w:val="20"/>
          <w:lang w:eastAsia="ko-KR"/>
        </w:rPr>
        <w:t xml:space="preserve">Wskaźniki produktu odnoszą się do </w:t>
      </w:r>
      <w:r w:rsidRPr="0043633C">
        <w:rPr>
          <w:rFonts w:ascii="Arial" w:hAnsi="Arial" w:cs="Arial"/>
          <w:sz w:val="20"/>
          <w:szCs w:val="20"/>
        </w:rPr>
        <w:t>bezpośrednich, materialnych efektów realizacji przedsięwzięcia, które można zmierzyć  konkretnymi wielkościami fizycznymi. Wartości uzyskanych produktów wynikać będą najczęściej z protokołów odbioru robót, dostaw i usług, inwentaryzacji geodezyjnej powykonawczej i innych dokumentów związanych z rozliczeniami inwestora z wykonawcą. Wskaźniki produktu występują z dniem odbioru i przekazania inwestycji do użytkowania.</w:t>
      </w:r>
    </w:p>
    <w:p w:rsidR="00174920" w:rsidRPr="0043633C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43633C">
        <w:rPr>
          <w:rFonts w:ascii="Arial" w:hAnsi="Arial" w:cs="Arial"/>
          <w:sz w:val="20"/>
          <w:szCs w:val="20"/>
        </w:rPr>
        <w:t>Rezultaty opisują wpływ zrealizowanego przedsięwzięcia na grupy docelowe i otoczenie społeczno-ekonomiczne, uzyskany bezpośrednio po zakończeniu realizacji projektu. Wsk</w:t>
      </w:r>
      <w:r w:rsidR="00DC7CEE" w:rsidRPr="0043633C">
        <w:rPr>
          <w:rFonts w:ascii="Arial" w:hAnsi="Arial" w:cs="Arial"/>
          <w:sz w:val="20"/>
          <w:szCs w:val="20"/>
        </w:rPr>
        <w:t xml:space="preserve">aźniki rezultatów są niezbędne </w:t>
      </w:r>
      <w:r w:rsidRPr="0043633C">
        <w:rPr>
          <w:rFonts w:ascii="Arial" w:hAnsi="Arial" w:cs="Arial"/>
          <w:sz w:val="20"/>
          <w:szCs w:val="20"/>
        </w:rPr>
        <w:t>do monitorowania efektów realizacji projektów i Programu.  Wartości należy podać zgodnie z ustaloną dla danego wskaźnika jednostką miary.</w:t>
      </w:r>
    </w:p>
    <w:p w:rsidR="00174920" w:rsidRPr="0043633C" w:rsidRDefault="002D0BAA" w:rsidP="00715B1D">
      <w:pPr>
        <w:pStyle w:val="Akapitzlist"/>
        <w:numPr>
          <w:ilvl w:val="0"/>
          <w:numId w:val="2"/>
        </w:numPr>
        <w:ind w:left="1418" w:hanging="698"/>
        <w:jc w:val="both"/>
        <w:rPr>
          <w:rFonts w:ascii="Arial" w:hAnsi="Arial" w:cs="Arial"/>
          <w:sz w:val="20"/>
          <w:szCs w:val="20"/>
        </w:rPr>
      </w:pPr>
      <w:r w:rsidRPr="0043633C">
        <w:rPr>
          <w:rFonts w:ascii="Arial" w:hAnsi="Arial" w:cs="Arial"/>
          <w:sz w:val="20"/>
          <w:szCs w:val="20"/>
        </w:rPr>
        <w:t xml:space="preserve">Ze szczególną uwagą określić i uzasadnić należy wskaźniki rezultatu, które mają wpływ na dokonanie oceny jakościowej wniosku </w:t>
      </w:r>
      <w:r w:rsidRPr="0043633C">
        <w:rPr>
          <w:rFonts w:ascii="Arial" w:hAnsi="Arial" w:cs="Arial"/>
          <w:sz w:val="20"/>
          <w:szCs w:val="20"/>
        </w:rPr>
        <w:br/>
        <w:t>o dofinansowanie. Należy zapewnić spójność podawanych danych z informacjami przedstawionymi w studium wykonalności oraz załączniku nr 2 do wniosku - Specyfikacji dotyczącej kryteriów oceny merytorycznej projektu.</w:t>
      </w:r>
    </w:p>
    <w:p w:rsidR="00174920" w:rsidRPr="0043633C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43633C">
        <w:rPr>
          <w:rFonts w:ascii="Arial" w:hAnsi="Arial" w:cs="Arial"/>
          <w:sz w:val="20"/>
          <w:szCs w:val="20"/>
        </w:rPr>
        <w:t>Wskaźniki należy oszacować rzetelnie mając na uwadze, że Wnioskodawca jest zobowiązany do monitorowania postępu w zakresie ich osiągania oraz będzie rozliczany z ich wypełnienia.</w:t>
      </w:r>
    </w:p>
    <w:p w:rsidR="0001380D" w:rsidRPr="0043633C" w:rsidRDefault="0001380D" w:rsidP="0001380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43633C">
        <w:rPr>
          <w:rFonts w:ascii="Arial" w:hAnsi="Arial" w:cs="Arial"/>
          <w:sz w:val="20"/>
          <w:szCs w:val="20"/>
        </w:rPr>
        <w:t>Wskaźniki kluczowe są zdefiniowane w załączniku do Wytycznych MIiR w sprawie monitorowania postępu rzeczowego realizacji programów operacyjnych na lata 2014-2020.</w:t>
      </w:r>
    </w:p>
    <w:p w:rsidR="00174920" w:rsidRPr="0043633C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43633C">
        <w:rPr>
          <w:rFonts w:ascii="Arial" w:hAnsi="Arial" w:cs="Arial"/>
          <w:sz w:val="20"/>
          <w:szCs w:val="20"/>
        </w:rPr>
        <w:t>Dodatkowe informacje na temat wskaźników podano w Instrukcji wypełniania wniosku oraz w Instrukcji do opracowania studium wykonalności.</w:t>
      </w:r>
    </w:p>
    <w:sectPr w:rsidR="00174920" w:rsidRPr="0043633C" w:rsidSect="001F3650">
      <w:headerReference w:type="default" r:id="rId8"/>
      <w:footerReference w:type="default" r:id="rId9"/>
      <w:pgSz w:w="16838" w:h="11906" w:orient="landscape"/>
      <w:pgMar w:top="1418" w:right="1258" w:bottom="1077" w:left="1079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DA" w:rsidRDefault="00935DDA">
      <w:r>
        <w:separator/>
      </w:r>
    </w:p>
  </w:endnote>
  <w:endnote w:type="continuationSeparator" w:id="0">
    <w:p w:rsidR="00935DDA" w:rsidRDefault="0093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DB" w:rsidRDefault="00C246C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5715" b="508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A5BDB" w:rsidRDefault="004A5B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246CD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4.15pt;margin-top:.05pt;width:7.05pt;height:16.1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" stroked="f">
              <v:path arrowok="t"/>
              <v:textbox style="mso-fit-shape-to-text:t" inset="0,0,0,0">
                <w:txbxContent>
                  <w:p w:rsidR="004A5BDB" w:rsidRDefault="004A5BD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246CD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DA" w:rsidRDefault="00935DDA">
      <w:r>
        <w:rPr>
          <w:color w:val="000000"/>
        </w:rPr>
        <w:separator/>
      </w:r>
    </w:p>
  </w:footnote>
  <w:footnote w:type="continuationSeparator" w:id="0">
    <w:p w:rsidR="00935DDA" w:rsidRDefault="00935DDA">
      <w:r>
        <w:continuationSeparator/>
      </w:r>
    </w:p>
  </w:footnote>
  <w:footnote w:id="1">
    <w:p w:rsidR="004A5BDB" w:rsidRDefault="004A5BDB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Wytyczne w zakresie realizacji zasady równości szans i niedyskryminacji, w tym dostępności dla osób z niepełnosprawnościami oraz równości szans kobiet i mężczyzn w ramach funduszy unijnych na lata 2014-2020</w:t>
      </w:r>
      <w:r>
        <w:t>.</w:t>
      </w:r>
    </w:p>
  </w:footnote>
  <w:footnote w:id="2">
    <w:p w:rsidR="004A5BDB" w:rsidRPr="002F2697" w:rsidRDefault="004A5BD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58D1">
        <w:rPr>
          <w:rFonts w:ascii="Arial" w:hAnsi="Arial" w:cs="Arial"/>
          <w:sz w:val="16"/>
          <w:szCs w:val="16"/>
        </w:rPr>
        <w:t>Zgodnie z Wytycznymi w zakresie monitorowania postępu rzeczowego realizacji programów operacyjnych na lata 2014-2020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4A5BDB" w:rsidRPr="0058157A" w:rsidRDefault="004A5BDB" w:rsidP="00915AE3">
      <w:pPr>
        <w:pStyle w:val="Tekstprzypisudolnego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5815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57A">
        <w:rPr>
          <w:rFonts w:ascii="Arial" w:hAnsi="Arial" w:cs="Arial"/>
          <w:sz w:val="16"/>
          <w:szCs w:val="16"/>
        </w:rPr>
        <w:t xml:space="preserve"> Zatrudnienie w ekwiwalentach pełnego czasu pracy ustala się na podstawie proporcji czasu przepracowanego przez poszczególnych pracowników w ciągu roku sprawozdawczego w stosunku do pełnego czasu pracy obowiązującego w danej instytucji. Przy wyliczeniu EPC w odniesieniu do umów o pracę nie należy odejmować urlopów wypoczynkowych, absencji oraz innych nieobecności usprawiedliwionych (poza urlopami bezpłatnymi i urlopami wychowawczymi trwającymi nieprzerwanie powyżej 3 miesięcy).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DB" w:rsidRDefault="00C246CD" w:rsidP="00944BCB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>
          <wp:extent cx="6029325" cy="530225"/>
          <wp:effectExtent l="0" t="0" r="9525" b="317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4C0"/>
    <w:multiLevelType w:val="multilevel"/>
    <w:tmpl w:val="1278EC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B0165FD"/>
    <w:multiLevelType w:val="hybridMultilevel"/>
    <w:tmpl w:val="40AC6F0C"/>
    <w:lvl w:ilvl="0" w:tplc="B44C5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03F"/>
    <w:multiLevelType w:val="multilevel"/>
    <w:tmpl w:val="EE8E70E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12D1C1B"/>
    <w:multiLevelType w:val="multilevel"/>
    <w:tmpl w:val="D354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C0C"/>
    <w:multiLevelType w:val="multilevel"/>
    <w:tmpl w:val="5AD0558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4163D9C"/>
    <w:multiLevelType w:val="multilevel"/>
    <w:tmpl w:val="ADB0D4D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DFE4D64"/>
    <w:multiLevelType w:val="hybridMultilevel"/>
    <w:tmpl w:val="574EB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00C4E"/>
    <w:multiLevelType w:val="multilevel"/>
    <w:tmpl w:val="5FC2EC0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50D7BBB"/>
    <w:multiLevelType w:val="hybridMultilevel"/>
    <w:tmpl w:val="5DB8D408"/>
    <w:lvl w:ilvl="0" w:tplc="4996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788C"/>
    <w:multiLevelType w:val="multilevel"/>
    <w:tmpl w:val="DF182C6E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8055250"/>
    <w:multiLevelType w:val="multilevel"/>
    <w:tmpl w:val="1B20157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8B66C97"/>
    <w:multiLevelType w:val="hybridMultilevel"/>
    <w:tmpl w:val="24F66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02553"/>
    <w:multiLevelType w:val="hybridMultilevel"/>
    <w:tmpl w:val="2E50320E"/>
    <w:lvl w:ilvl="0" w:tplc="C152EF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E0E99"/>
    <w:multiLevelType w:val="hybridMultilevel"/>
    <w:tmpl w:val="24F66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1DD8"/>
    <w:multiLevelType w:val="multilevel"/>
    <w:tmpl w:val="4DE2355A"/>
    <w:styleLink w:val="WW8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45464658"/>
    <w:multiLevelType w:val="multilevel"/>
    <w:tmpl w:val="B0C4F454"/>
    <w:styleLink w:val="WW8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79433E4"/>
    <w:multiLevelType w:val="hybridMultilevel"/>
    <w:tmpl w:val="F0A4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B0624"/>
    <w:multiLevelType w:val="multilevel"/>
    <w:tmpl w:val="897A88B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19F0140"/>
    <w:multiLevelType w:val="hybridMultilevel"/>
    <w:tmpl w:val="4304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4231B"/>
    <w:multiLevelType w:val="hybridMultilevel"/>
    <w:tmpl w:val="D0E22394"/>
    <w:lvl w:ilvl="0" w:tplc="694029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5E66F5"/>
    <w:multiLevelType w:val="hybridMultilevel"/>
    <w:tmpl w:val="40AC6F0C"/>
    <w:lvl w:ilvl="0" w:tplc="B44C5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E5FCC"/>
    <w:multiLevelType w:val="multilevel"/>
    <w:tmpl w:val="D3E0B3E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BFF5B7F"/>
    <w:multiLevelType w:val="multilevel"/>
    <w:tmpl w:val="DBCEE69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74301ABA"/>
    <w:multiLevelType w:val="multilevel"/>
    <w:tmpl w:val="F53CBEA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76126DF9"/>
    <w:multiLevelType w:val="multilevel"/>
    <w:tmpl w:val="4AA05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091E"/>
    <w:multiLevelType w:val="multilevel"/>
    <w:tmpl w:val="E424CF6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"/>
  </w:num>
  <w:num w:numId="5">
    <w:abstractNumId w:val="11"/>
  </w:num>
  <w:num w:numId="6">
    <w:abstractNumId w:val="24"/>
  </w:num>
  <w:num w:numId="7">
    <w:abstractNumId w:val="16"/>
  </w:num>
  <w:num w:numId="8">
    <w:abstractNumId w:val="26"/>
  </w:num>
  <w:num w:numId="9">
    <w:abstractNumId w:val="6"/>
    <w:lvlOverride w:ilvl="3">
      <w:lvl w:ilvl="3">
        <w:start w:val="1"/>
        <w:numFmt w:val="decimal"/>
        <w:lvlText w:val="%4."/>
        <w:lvlJc w:val="left"/>
      </w:lvl>
    </w:lvlOverride>
  </w:num>
  <w:num w:numId="10">
    <w:abstractNumId w:val="23"/>
  </w:num>
  <w:num w:numId="11">
    <w:abstractNumId w:val="8"/>
  </w:num>
  <w:num w:numId="12">
    <w:abstractNumId w:val="18"/>
  </w:num>
  <w:num w:numId="13">
    <w:abstractNumId w:val="3"/>
  </w:num>
  <w:num w:numId="14">
    <w:abstractNumId w:val="10"/>
  </w:num>
  <w:num w:numId="15">
    <w:abstractNumId w:val="2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21"/>
  </w:num>
  <w:num w:numId="23">
    <w:abstractNumId w:val="2"/>
  </w:num>
  <w:num w:numId="24">
    <w:abstractNumId w:val="13"/>
  </w:num>
  <w:num w:numId="25">
    <w:abstractNumId w:val="6"/>
  </w:num>
  <w:num w:numId="26">
    <w:abstractNumId w:val="9"/>
  </w:num>
  <w:num w:numId="27">
    <w:abstractNumId w:val="4"/>
  </w:num>
  <w:num w:numId="28">
    <w:abstractNumId w:val="25"/>
  </w:num>
  <w:num w:numId="29">
    <w:abstractNumId w:val="14"/>
  </w:num>
  <w:num w:numId="30">
    <w:abstractNumId w:val="12"/>
  </w:num>
  <w:num w:numId="31">
    <w:abstractNumId w:val="20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0"/>
    <w:rsid w:val="00000918"/>
    <w:rsid w:val="00001837"/>
    <w:rsid w:val="00002321"/>
    <w:rsid w:val="000048BC"/>
    <w:rsid w:val="00005C33"/>
    <w:rsid w:val="00011B20"/>
    <w:rsid w:val="0001380D"/>
    <w:rsid w:val="000169A2"/>
    <w:rsid w:val="00020E52"/>
    <w:rsid w:val="000442F4"/>
    <w:rsid w:val="000464B8"/>
    <w:rsid w:val="0004774C"/>
    <w:rsid w:val="00050D4D"/>
    <w:rsid w:val="00055991"/>
    <w:rsid w:val="000614BA"/>
    <w:rsid w:val="000622F0"/>
    <w:rsid w:val="000624A4"/>
    <w:rsid w:val="00063363"/>
    <w:rsid w:val="0006495A"/>
    <w:rsid w:val="00064A3F"/>
    <w:rsid w:val="00067E00"/>
    <w:rsid w:val="0007124B"/>
    <w:rsid w:val="00075588"/>
    <w:rsid w:val="0008314F"/>
    <w:rsid w:val="00087D12"/>
    <w:rsid w:val="00087FAE"/>
    <w:rsid w:val="00092E4A"/>
    <w:rsid w:val="000940E1"/>
    <w:rsid w:val="00095BDF"/>
    <w:rsid w:val="000A00D3"/>
    <w:rsid w:val="000A13E2"/>
    <w:rsid w:val="000A1A8F"/>
    <w:rsid w:val="000A7BF6"/>
    <w:rsid w:val="000B453F"/>
    <w:rsid w:val="000B510B"/>
    <w:rsid w:val="000B628E"/>
    <w:rsid w:val="000B7CAA"/>
    <w:rsid w:val="000C6FB8"/>
    <w:rsid w:val="000D592F"/>
    <w:rsid w:val="000D6D91"/>
    <w:rsid w:val="000F3198"/>
    <w:rsid w:val="00100AB3"/>
    <w:rsid w:val="00105783"/>
    <w:rsid w:val="0011116B"/>
    <w:rsid w:val="00111D11"/>
    <w:rsid w:val="00114993"/>
    <w:rsid w:val="00116068"/>
    <w:rsid w:val="00122B80"/>
    <w:rsid w:val="00126F9E"/>
    <w:rsid w:val="00130FB0"/>
    <w:rsid w:val="00132292"/>
    <w:rsid w:val="00132F48"/>
    <w:rsid w:val="00135BCE"/>
    <w:rsid w:val="00140C00"/>
    <w:rsid w:val="00154639"/>
    <w:rsid w:val="00154C25"/>
    <w:rsid w:val="00160733"/>
    <w:rsid w:val="00160FE4"/>
    <w:rsid w:val="00171846"/>
    <w:rsid w:val="00171E3C"/>
    <w:rsid w:val="001722BC"/>
    <w:rsid w:val="00174920"/>
    <w:rsid w:val="001778AE"/>
    <w:rsid w:val="001779CA"/>
    <w:rsid w:val="00184531"/>
    <w:rsid w:val="0019259B"/>
    <w:rsid w:val="001B5DDA"/>
    <w:rsid w:val="001B6AF0"/>
    <w:rsid w:val="001B6F63"/>
    <w:rsid w:val="001C0496"/>
    <w:rsid w:val="001C1ACF"/>
    <w:rsid w:val="001C226E"/>
    <w:rsid w:val="001C50B0"/>
    <w:rsid w:val="001C7BB8"/>
    <w:rsid w:val="001D3538"/>
    <w:rsid w:val="001D3B70"/>
    <w:rsid w:val="001D7BF7"/>
    <w:rsid w:val="001E1488"/>
    <w:rsid w:val="001E2493"/>
    <w:rsid w:val="001E31D9"/>
    <w:rsid w:val="001F3650"/>
    <w:rsid w:val="00222B71"/>
    <w:rsid w:val="00223704"/>
    <w:rsid w:val="00231255"/>
    <w:rsid w:val="00232E32"/>
    <w:rsid w:val="00236A9C"/>
    <w:rsid w:val="00240EF8"/>
    <w:rsid w:val="0025111E"/>
    <w:rsid w:val="002618B9"/>
    <w:rsid w:val="0026547D"/>
    <w:rsid w:val="00267CB9"/>
    <w:rsid w:val="00270CBC"/>
    <w:rsid w:val="00271FA4"/>
    <w:rsid w:val="002749DB"/>
    <w:rsid w:val="002768A3"/>
    <w:rsid w:val="00284D9E"/>
    <w:rsid w:val="00287295"/>
    <w:rsid w:val="00290D61"/>
    <w:rsid w:val="00295E81"/>
    <w:rsid w:val="00296654"/>
    <w:rsid w:val="002A5DB4"/>
    <w:rsid w:val="002A6B73"/>
    <w:rsid w:val="002B6B76"/>
    <w:rsid w:val="002B74F4"/>
    <w:rsid w:val="002C11F3"/>
    <w:rsid w:val="002C4849"/>
    <w:rsid w:val="002C4B4E"/>
    <w:rsid w:val="002D027E"/>
    <w:rsid w:val="002D0BAA"/>
    <w:rsid w:val="002D7154"/>
    <w:rsid w:val="002D7961"/>
    <w:rsid w:val="002E172B"/>
    <w:rsid w:val="002F2697"/>
    <w:rsid w:val="002F28A1"/>
    <w:rsid w:val="002F412E"/>
    <w:rsid w:val="003056AD"/>
    <w:rsid w:val="00311441"/>
    <w:rsid w:val="003114F9"/>
    <w:rsid w:val="00312B43"/>
    <w:rsid w:val="00322602"/>
    <w:rsid w:val="003258D1"/>
    <w:rsid w:val="00331906"/>
    <w:rsid w:val="00331F34"/>
    <w:rsid w:val="003331E2"/>
    <w:rsid w:val="00336910"/>
    <w:rsid w:val="00337912"/>
    <w:rsid w:val="00343ECD"/>
    <w:rsid w:val="003442B4"/>
    <w:rsid w:val="00350D9B"/>
    <w:rsid w:val="003631EB"/>
    <w:rsid w:val="00372EAE"/>
    <w:rsid w:val="00380F0D"/>
    <w:rsid w:val="00392284"/>
    <w:rsid w:val="003A4CF7"/>
    <w:rsid w:val="003B1920"/>
    <w:rsid w:val="003B6215"/>
    <w:rsid w:val="003C01B9"/>
    <w:rsid w:val="003C2311"/>
    <w:rsid w:val="003C404A"/>
    <w:rsid w:val="003C61A8"/>
    <w:rsid w:val="003C7BF4"/>
    <w:rsid w:val="003D6B38"/>
    <w:rsid w:val="003F31A7"/>
    <w:rsid w:val="003F3B37"/>
    <w:rsid w:val="003F657F"/>
    <w:rsid w:val="004014AE"/>
    <w:rsid w:val="0040544B"/>
    <w:rsid w:val="0040555C"/>
    <w:rsid w:val="004164E4"/>
    <w:rsid w:val="00420CF5"/>
    <w:rsid w:val="00421BCB"/>
    <w:rsid w:val="00423C24"/>
    <w:rsid w:val="00426284"/>
    <w:rsid w:val="004360F8"/>
    <w:rsid w:val="0043633C"/>
    <w:rsid w:val="00447FBE"/>
    <w:rsid w:val="004548E9"/>
    <w:rsid w:val="00457AAD"/>
    <w:rsid w:val="00461323"/>
    <w:rsid w:val="00467802"/>
    <w:rsid w:val="00472ADE"/>
    <w:rsid w:val="00475AE6"/>
    <w:rsid w:val="00481721"/>
    <w:rsid w:val="00485489"/>
    <w:rsid w:val="004921F8"/>
    <w:rsid w:val="00493365"/>
    <w:rsid w:val="00495254"/>
    <w:rsid w:val="004952A5"/>
    <w:rsid w:val="004A0074"/>
    <w:rsid w:val="004A5BDB"/>
    <w:rsid w:val="004B002C"/>
    <w:rsid w:val="004B13F2"/>
    <w:rsid w:val="004B44C3"/>
    <w:rsid w:val="004B6106"/>
    <w:rsid w:val="004B79B0"/>
    <w:rsid w:val="004C4B00"/>
    <w:rsid w:val="004D1E83"/>
    <w:rsid w:val="004D3AC7"/>
    <w:rsid w:val="004E0964"/>
    <w:rsid w:val="004E1F66"/>
    <w:rsid w:val="004E2C87"/>
    <w:rsid w:val="004E436A"/>
    <w:rsid w:val="004E54CB"/>
    <w:rsid w:val="004E563E"/>
    <w:rsid w:val="004E5DB3"/>
    <w:rsid w:val="004E66C3"/>
    <w:rsid w:val="0050479A"/>
    <w:rsid w:val="00504DF5"/>
    <w:rsid w:val="00512DB0"/>
    <w:rsid w:val="00513AA8"/>
    <w:rsid w:val="005224BE"/>
    <w:rsid w:val="005309F0"/>
    <w:rsid w:val="00537475"/>
    <w:rsid w:val="005452A4"/>
    <w:rsid w:val="005535E9"/>
    <w:rsid w:val="00554003"/>
    <w:rsid w:val="00556024"/>
    <w:rsid w:val="00567499"/>
    <w:rsid w:val="0058157A"/>
    <w:rsid w:val="005852CF"/>
    <w:rsid w:val="00596AA5"/>
    <w:rsid w:val="005A3FF5"/>
    <w:rsid w:val="005A4266"/>
    <w:rsid w:val="005A745C"/>
    <w:rsid w:val="005A7626"/>
    <w:rsid w:val="005B268F"/>
    <w:rsid w:val="005B433A"/>
    <w:rsid w:val="005B77D7"/>
    <w:rsid w:val="005C379A"/>
    <w:rsid w:val="005D3B58"/>
    <w:rsid w:val="005D7EE3"/>
    <w:rsid w:val="005E2878"/>
    <w:rsid w:val="005E42C7"/>
    <w:rsid w:val="005E5808"/>
    <w:rsid w:val="005E7473"/>
    <w:rsid w:val="005F2AD8"/>
    <w:rsid w:val="005F6780"/>
    <w:rsid w:val="00600BF3"/>
    <w:rsid w:val="00601E41"/>
    <w:rsid w:val="00602724"/>
    <w:rsid w:val="0060596D"/>
    <w:rsid w:val="00613025"/>
    <w:rsid w:val="00622226"/>
    <w:rsid w:val="00635149"/>
    <w:rsid w:val="00651888"/>
    <w:rsid w:val="00651E36"/>
    <w:rsid w:val="00653F41"/>
    <w:rsid w:val="0065745C"/>
    <w:rsid w:val="006601A2"/>
    <w:rsid w:val="006700BC"/>
    <w:rsid w:val="00670E61"/>
    <w:rsid w:val="00675750"/>
    <w:rsid w:val="00680548"/>
    <w:rsid w:val="00683B94"/>
    <w:rsid w:val="006A063A"/>
    <w:rsid w:val="006B145E"/>
    <w:rsid w:val="006B43E4"/>
    <w:rsid w:val="006C6BC1"/>
    <w:rsid w:val="006C6FCD"/>
    <w:rsid w:val="006D0A10"/>
    <w:rsid w:val="006D156B"/>
    <w:rsid w:val="006D6239"/>
    <w:rsid w:val="006D66EA"/>
    <w:rsid w:val="006D7DB2"/>
    <w:rsid w:val="006E0000"/>
    <w:rsid w:val="006E0F5A"/>
    <w:rsid w:val="006E24F8"/>
    <w:rsid w:val="006F02AF"/>
    <w:rsid w:val="006F6BEE"/>
    <w:rsid w:val="00705B47"/>
    <w:rsid w:val="00707482"/>
    <w:rsid w:val="007146B6"/>
    <w:rsid w:val="00715B1D"/>
    <w:rsid w:val="00727E4E"/>
    <w:rsid w:val="007306E4"/>
    <w:rsid w:val="00734880"/>
    <w:rsid w:val="00735651"/>
    <w:rsid w:val="00737AEB"/>
    <w:rsid w:val="00742579"/>
    <w:rsid w:val="007556BE"/>
    <w:rsid w:val="00756B13"/>
    <w:rsid w:val="007610DE"/>
    <w:rsid w:val="00766C5E"/>
    <w:rsid w:val="00774AA9"/>
    <w:rsid w:val="00780748"/>
    <w:rsid w:val="007914B6"/>
    <w:rsid w:val="0079184A"/>
    <w:rsid w:val="007A37D8"/>
    <w:rsid w:val="007C52E4"/>
    <w:rsid w:val="007D638D"/>
    <w:rsid w:val="007E3599"/>
    <w:rsid w:val="007E6CE0"/>
    <w:rsid w:val="007F3742"/>
    <w:rsid w:val="00803282"/>
    <w:rsid w:val="00805298"/>
    <w:rsid w:val="00806E7C"/>
    <w:rsid w:val="0081255B"/>
    <w:rsid w:val="00816CCF"/>
    <w:rsid w:val="00826056"/>
    <w:rsid w:val="00826DE0"/>
    <w:rsid w:val="00832459"/>
    <w:rsid w:val="008344CD"/>
    <w:rsid w:val="00840133"/>
    <w:rsid w:val="008433AC"/>
    <w:rsid w:val="00854889"/>
    <w:rsid w:val="00857826"/>
    <w:rsid w:val="00870B8F"/>
    <w:rsid w:val="00876CBF"/>
    <w:rsid w:val="00877CE8"/>
    <w:rsid w:val="008920D4"/>
    <w:rsid w:val="008944D7"/>
    <w:rsid w:val="008A1AFB"/>
    <w:rsid w:val="008A24F4"/>
    <w:rsid w:val="008B0CC4"/>
    <w:rsid w:val="008B1D3B"/>
    <w:rsid w:val="008B1FF0"/>
    <w:rsid w:val="008B6448"/>
    <w:rsid w:val="008C2603"/>
    <w:rsid w:val="008D06D9"/>
    <w:rsid w:val="008D0763"/>
    <w:rsid w:val="008D0863"/>
    <w:rsid w:val="008D4D79"/>
    <w:rsid w:val="008F00C2"/>
    <w:rsid w:val="008F2398"/>
    <w:rsid w:val="008F3FD6"/>
    <w:rsid w:val="008F451B"/>
    <w:rsid w:val="008F7E4B"/>
    <w:rsid w:val="00902613"/>
    <w:rsid w:val="009054DD"/>
    <w:rsid w:val="00915008"/>
    <w:rsid w:val="00915AE3"/>
    <w:rsid w:val="0092265B"/>
    <w:rsid w:val="00935DDA"/>
    <w:rsid w:val="00944BCB"/>
    <w:rsid w:val="0094575F"/>
    <w:rsid w:val="00947197"/>
    <w:rsid w:val="00950F5A"/>
    <w:rsid w:val="00951CAC"/>
    <w:rsid w:val="00953724"/>
    <w:rsid w:val="00954616"/>
    <w:rsid w:val="00956B60"/>
    <w:rsid w:val="00962EF0"/>
    <w:rsid w:val="00986DE8"/>
    <w:rsid w:val="009A26E4"/>
    <w:rsid w:val="009A2B74"/>
    <w:rsid w:val="009A5BE3"/>
    <w:rsid w:val="009A77ED"/>
    <w:rsid w:val="009A78F8"/>
    <w:rsid w:val="009B2E7B"/>
    <w:rsid w:val="009B4DB2"/>
    <w:rsid w:val="009B50A9"/>
    <w:rsid w:val="009C0C66"/>
    <w:rsid w:val="009C6A08"/>
    <w:rsid w:val="009D506A"/>
    <w:rsid w:val="009D72C6"/>
    <w:rsid w:val="009E0B07"/>
    <w:rsid w:val="009E11E1"/>
    <w:rsid w:val="009E21B5"/>
    <w:rsid w:val="009E40F7"/>
    <w:rsid w:val="009F60EB"/>
    <w:rsid w:val="00A05296"/>
    <w:rsid w:val="00A113E2"/>
    <w:rsid w:val="00A177FF"/>
    <w:rsid w:val="00A17E46"/>
    <w:rsid w:val="00A205C4"/>
    <w:rsid w:val="00A227E2"/>
    <w:rsid w:val="00A23EE3"/>
    <w:rsid w:val="00A25CB2"/>
    <w:rsid w:val="00A25E14"/>
    <w:rsid w:val="00A37A79"/>
    <w:rsid w:val="00A5115D"/>
    <w:rsid w:val="00A56573"/>
    <w:rsid w:val="00A6097A"/>
    <w:rsid w:val="00A63A99"/>
    <w:rsid w:val="00A67E70"/>
    <w:rsid w:val="00A705DA"/>
    <w:rsid w:val="00A74A72"/>
    <w:rsid w:val="00A7736E"/>
    <w:rsid w:val="00A8002C"/>
    <w:rsid w:val="00A81C52"/>
    <w:rsid w:val="00A83229"/>
    <w:rsid w:val="00A85662"/>
    <w:rsid w:val="00A9063B"/>
    <w:rsid w:val="00A906C5"/>
    <w:rsid w:val="00A91DD4"/>
    <w:rsid w:val="00AA6E6C"/>
    <w:rsid w:val="00AB0796"/>
    <w:rsid w:val="00AB0A72"/>
    <w:rsid w:val="00AB7848"/>
    <w:rsid w:val="00AC1EE7"/>
    <w:rsid w:val="00AC57C9"/>
    <w:rsid w:val="00AE0817"/>
    <w:rsid w:val="00AE7121"/>
    <w:rsid w:val="00AF187C"/>
    <w:rsid w:val="00AF1917"/>
    <w:rsid w:val="00AF2490"/>
    <w:rsid w:val="00AF4CE0"/>
    <w:rsid w:val="00AF4D97"/>
    <w:rsid w:val="00AF7BCA"/>
    <w:rsid w:val="00B007F4"/>
    <w:rsid w:val="00B00C3A"/>
    <w:rsid w:val="00B10866"/>
    <w:rsid w:val="00B11606"/>
    <w:rsid w:val="00B121FD"/>
    <w:rsid w:val="00B14086"/>
    <w:rsid w:val="00B14428"/>
    <w:rsid w:val="00B21D61"/>
    <w:rsid w:val="00B22E21"/>
    <w:rsid w:val="00B2513C"/>
    <w:rsid w:val="00B26079"/>
    <w:rsid w:val="00B40B30"/>
    <w:rsid w:val="00B452E5"/>
    <w:rsid w:val="00B47A82"/>
    <w:rsid w:val="00B63CC5"/>
    <w:rsid w:val="00B750A4"/>
    <w:rsid w:val="00B81FD4"/>
    <w:rsid w:val="00B85885"/>
    <w:rsid w:val="00B91F6A"/>
    <w:rsid w:val="00BA722B"/>
    <w:rsid w:val="00BC20F7"/>
    <w:rsid w:val="00BC22FD"/>
    <w:rsid w:val="00BC6111"/>
    <w:rsid w:val="00BD7593"/>
    <w:rsid w:val="00BE0BEF"/>
    <w:rsid w:val="00BE42F5"/>
    <w:rsid w:val="00BF2B39"/>
    <w:rsid w:val="00C10FAB"/>
    <w:rsid w:val="00C246CD"/>
    <w:rsid w:val="00C25FFC"/>
    <w:rsid w:val="00C27008"/>
    <w:rsid w:val="00C31684"/>
    <w:rsid w:val="00C322CD"/>
    <w:rsid w:val="00C34792"/>
    <w:rsid w:val="00C36DBC"/>
    <w:rsid w:val="00C40155"/>
    <w:rsid w:val="00C466C7"/>
    <w:rsid w:val="00C53076"/>
    <w:rsid w:val="00C57DEA"/>
    <w:rsid w:val="00C62FFB"/>
    <w:rsid w:val="00C66F3B"/>
    <w:rsid w:val="00C70E58"/>
    <w:rsid w:val="00C73FA6"/>
    <w:rsid w:val="00C76400"/>
    <w:rsid w:val="00C80B4E"/>
    <w:rsid w:val="00C86078"/>
    <w:rsid w:val="00C86563"/>
    <w:rsid w:val="00C92760"/>
    <w:rsid w:val="00CA581C"/>
    <w:rsid w:val="00CB0A7E"/>
    <w:rsid w:val="00CB7586"/>
    <w:rsid w:val="00CC4349"/>
    <w:rsid w:val="00CC4CB2"/>
    <w:rsid w:val="00CC6245"/>
    <w:rsid w:val="00CC765B"/>
    <w:rsid w:val="00CD5352"/>
    <w:rsid w:val="00CE075D"/>
    <w:rsid w:val="00CF0DC6"/>
    <w:rsid w:val="00D02C6B"/>
    <w:rsid w:val="00D14CAF"/>
    <w:rsid w:val="00D208A3"/>
    <w:rsid w:val="00D24394"/>
    <w:rsid w:val="00D33888"/>
    <w:rsid w:val="00D37976"/>
    <w:rsid w:val="00D413C1"/>
    <w:rsid w:val="00D41446"/>
    <w:rsid w:val="00D42D64"/>
    <w:rsid w:val="00D46FA7"/>
    <w:rsid w:val="00D60827"/>
    <w:rsid w:val="00D63BE7"/>
    <w:rsid w:val="00D65803"/>
    <w:rsid w:val="00D670A6"/>
    <w:rsid w:val="00D731D9"/>
    <w:rsid w:val="00D74A57"/>
    <w:rsid w:val="00D74BAF"/>
    <w:rsid w:val="00D83B81"/>
    <w:rsid w:val="00D922AE"/>
    <w:rsid w:val="00D96F1B"/>
    <w:rsid w:val="00DA1164"/>
    <w:rsid w:val="00DA5AA3"/>
    <w:rsid w:val="00DB4C12"/>
    <w:rsid w:val="00DB5E37"/>
    <w:rsid w:val="00DC00B2"/>
    <w:rsid w:val="00DC0A3D"/>
    <w:rsid w:val="00DC7CEE"/>
    <w:rsid w:val="00DD1E5E"/>
    <w:rsid w:val="00DD4763"/>
    <w:rsid w:val="00DD69D0"/>
    <w:rsid w:val="00DD7EE7"/>
    <w:rsid w:val="00DF23C3"/>
    <w:rsid w:val="00DF2883"/>
    <w:rsid w:val="00DF6D0F"/>
    <w:rsid w:val="00DF7C40"/>
    <w:rsid w:val="00E01A13"/>
    <w:rsid w:val="00E12842"/>
    <w:rsid w:val="00E162BE"/>
    <w:rsid w:val="00E17BD9"/>
    <w:rsid w:val="00E2224D"/>
    <w:rsid w:val="00E22FEE"/>
    <w:rsid w:val="00E348CE"/>
    <w:rsid w:val="00E34F5E"/>
    <w:rsid w:val="00E3593D"/>
    <w:rsid w:val="00E37B6D"/>
    <w:rsid w:val="00E40012"/>
    <w:rsid w:val="00E422F2"/>
    <w:rsid w:val="00E43C7E"/>
    <w:rsid w:val="00E45128"/>
    <w:rsid w:val="00E53BBD"/>
    <w:rsid w:val="00E54365"/>
    <w:rsid w:val="00E56D6F"/>
    <w:rsid w:val="00E611AD"/>
    <w:rsid w:val="00E667ED"/>
    <w:rsid w:val="00E849C0"/>
    <w:rsid w:val="00E86CAD"/>
    <w:rsid w:val="00E90DE6"/>
    <w:rsid w:val="00E957BE"/>
    <w:rsid w:val="00E97750"/>
    <w:rsid w:val="00EA4655"/>
    <w:rsid w:val="00EA52B8"/>
    <w:rsid w:val="00EA7691"/>
    <w:rsid w:val="00EB25F9"/>
    <w:rsid w:val="00EB4F32"/>
    <w:rsid w:val="00EC5B21"/>
    <w:rsid w:val="00EC61B5"/>
    <w:rsid w:val="00ED1AF9"/>
    <w:rsid w:val="00ED3BFB"/>
    <w:rsid w:val="00EE0BBB"/>
    <w:rsid w:val="00EE1CAE"/>
    <w:rsid w:val="00EE2DDC"/>
    <w:rsid w:val="00EE6437"/>
    <w:rsid w:val="00EE714D"/>
    <w:rsid w:val="00EF3850"/>
    <w:rsid w:val="00EF4632"/>
    <w:rsid w:val="00EF4CB8"/>
    <w:rsid w:val="00EF6858"/>
    <w:rsid w:val="00F068A9"/>
    <w:rsid w:val="00F27E2D"/>
    <w:rsid w:val="00F350F7"/>
    <w:rsid w:val="00F36577"/>
    <w:rsid w:val="00F51559"/>
    <w:rsid w:val="00F52A21"/>
    <w:rsid w:val="00F53BCB"/>
    <w:rsid w:val="00F6634F"/>
    <w:rsid w:val="00F67B91"/>
    <w:rsid w:val="00F71A83"/>
    <w:rsid w:val="00F767D1"/>
    <w:rsid w:val="00F81071"/>
    <w:rsid w:val="00F83441"/>
    <w:rsid w:val="00F92AD2"/>
    <w:rsid w:val="00F96179"/>
    <w:rsid w:val="00FA00EA"/>
    <w:rsid w:val="00FB5C52"/>
    <w:rsid w:val="00FB7F36"/>
    <w:rsid w:val="00FC174C"/>
    <w:rsid w:val="00FD468A"/>
    <w:rsid w:val="00FD5359"/>
    <w:rsid w:val="00FE20B8"/>
    <w:rsid w:val="00FE4C4A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A91906-DFEA-4A01-B008-AA7D5B4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27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1C226E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44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agwek">
    <w:name w:val="header"/>
    <w:basedOn w:val="Standard"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Footnote">
    <w:name w:val="Footnote"/>
    <w:basedOn w:val="Standard"/>
    <w:pPr>
      <w:overflowPunct w:val="0"/>
      <w:autoSpaceDE w:val="0"/>
      <w:ind w:left="284" w:hanging="284"/>
      <w:jc w:val="both"/>
    </w:pPr>
    <w:rPr>
      <w:rFonts w:ascii="Arial" w:hAnsi="Arial" w:cs="Arial"/>
      <w:sz w:val="16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4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Znak Znak,single space Znak,FOOTNOTES Znak,fn Znak,Fußnote Znak,przypis Znak,Tekst przypisu Znak,Tekst przypisu Znak Znak Znak Znak Znak1, Znak Znak,o Znak,-E Fuﬂnotentext Znak"/>
    <w:uiPriority w:val="99"/>
    <w:rPr>
      <w:rFonts w:ascii="Arial" w:eastAsia="Times New Roman" w:hAnsi="Arial" w:cs="Times New Roman"/>
      <w:sz w:val="16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,SUPE"/>
    <w:uiPriority w:val="99"/>
    <w:unhideWhenUsed/>
    <w:rPr>
      <w:vertAlign w:val="superscript"/>
    </w:rPr>
  </w:style>
  <w:style w:type="character" w:customStyle="1" w:styleId="apple-converted-space">
    <w:name w:val="apple-converted-space"/>
    <w:rsid w:val="005309F0"/>
  </w:style>
  <w:style w:type="character" w:styleId="Hipercze">
    <w:name w:val="Hyperlink"/>
    <w:uiPriority w:val="99"/>
    <w:semiHidden/>
    <w:unhideWhenUsed/>
    <w:rsid w:val="005309F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E42C7"/>
    <w:pPr>
      <w:widowControl/>
      <w:autoSpaceDN/>
      <w:jc w:val="both"/>
      <w:textAlignment w:val="auto"/>
    </w:pPr>
    <w:rPr>
      <w:rFonts w:ascii="Arial" w:eastAsia="Times New Roman" w:hAnsi="Arial" w:cs="Times New Roman"/>
      <w:kern w:val="0"/>
      <w:lang w:val="x-none" w:eastAsia="ar-SA" w:bidi="ar-SA"/>
    </w:rPr>
  </w:style>
  <w:style w:type="character" w:customStyle="1" w:styleId="Tekstpodstawowy2Znak">
    <w:name w:val="Tekst podstawowy 2 Znak"/>
    <w:link w:val="Tekstpodstawowy2"/>
    <w:semiHidden/>
    <w:rsid w:val="005E42C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1C226E"/>
    <w:rPr>
      <w:rFonts w:eastAsia="Times New Roman" w:cs="Times New Roman"/>
      <w:b/>
      <w:bCs/>
      <w:sz w:val="36"/>
      <w:szCs w:val="36"/>
    </w:rPr>
  </w:style>
  <w:style w:type="paragraph" w:styleId="Tekstprzypisudolnego">
    <w:name w:val="footnote text"/>
    <w:aliases w:val="Podrozdział,Podrozdzia3,Znak,single space,FOOTNOTES,fn,Fußnote,przypis,Tekst przypisu,Tekst przypisu Znak Znak Znak Znak,Tekst przypisu Znak Znak Znak Znak Znak,Tekst przypisu Znak Znak Znak Znak Znak Znak Znak, Znak,o"/>
    <w:basedOn w:val="Normalny"/>
    <w:link w:val="TekstprzypisudolnegoZnak1"/>
    <w:uiPriority w:val="99"/>
    <w:unhideWhenUsed/>
    <w:qFormat/>
    <w:rsid w:val="00902613"/>
    <w:rPr>
      <w:sz w:val="20"/>
      <w:szCs w:val="18"/>
      <w:lang w:val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902613"/>
    <w:rPr>
      <w:kern w:val="3"/>
      <w:szCs w:val="18"/>
      <w:lang w:eastAsia="zh-CN" w:bidi="hi-IN"/>
    </w:rPr>
  </w:style>
  <w:style w:type="character" w:customStyle="1" w:styleId="Nagwek1Znak">
    <w:name w:val="Nagłówek 1 Znak"/>
    <w:link w:val="Nagwek1"/>
    <w:uiPriority w:val="99"/>
    <w:rsid w:val="00C92760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customStyle="1" w:styleId="Nagwek4Znak">
    <w:name w:val="Nagłówek 4 Znak"/>
    <w:link w:val="Nagwek4"/>
    <w:uiPriority w:val="9"/>
    <w:rsid w:val="004B44C3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37EB-3632-4E3C-9C42-2D39AFE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cp:lastModifiedBy>Ciejka Paweł</cp:lastModifiedBy>
  <cp:revision>2</cp:revision>
  <cp:lastPrinted>2016-11-25T07:26:00Z</cp:lastPrinted>
  <dcterms:created xsi:type="dcterms:W3CDTF">2017-04-11T07:14:00Z</dcterms:created>
  <dcterms:modified xsi:type="dcterms:W3CDTF">2017-04-11T07:14:00Z</dcterms:modified>
</cp:coreProperties>
</file>